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BE" w:rsidRPr="00DB6B2F" w:rsidRDefault="00300796" w:rsidP="00F92514">
      <w:pPr>
        <w:bidi w:val="0"/>
        <w:ind w:right="-900"/>
        <w:jc w:val="both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  <w:r w:rsidRPr="00DB6B2F">
        <w:rPr>
          <w:rFonts w:asciiTheme="majorBidi" w:hAnsiTheme="majorBidi" w:cstheme="majorBidi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-90115</wp:posOffset>
            </wp:positionH>
            <wp:positionV relativeFrom="paragraph">
              <wp:posOffset>0</wp:posOffset>
            </wp:positionV>
            <wp:extent cx="1285875" cy="891540"/>
            <wp:effectExtent l="0" t="0" r="9525" b="3810"/>
            <wp:wrapSquare wrapText="bothSides"/>
            <wp:docPr id="2" name="Picture 2" descr="الوصف: الدائرة انجليز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وصف: الدائرة انجليز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B2F">
        <w:rPr>
          <w:rFonts w:asciiTheme="majorBidi" w:hAnsiTheme="majorBidi" w:cstheme="majorBidi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3762485</wp:posOffset>
            </wp:positionH>
            <wp:positionV relativeFrom="paragraph">
              <wp:posOffset>28</wp:posOffset>
            </wp:positionV>
            <wp:extent cx="1438275" cy="1085850"/>
            <wp:effectExtent l="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413" w:rsidRPr="00DB6B2F" w:rsidRDefault="00150413" w:rsidP="003F7BBE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50413" w:rsidRPr="00DB6B2F" w:rsidRDefault="00150413" w:rsidP="00150413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FF6A56" w:rsidRPr="00DB6B2F" w:rsidRDefault="00FF6A56" w:rsidP="00FF6A56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FF6A56" w:rsidRPr="00DB6B2F" w:rsidRDefault="00FF6A56" w:rsidP="00FF6A56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FF6A56" w:rsidRPr="00DB6B2F" w:rsidRDefault="00FF6A56" w:rsidP="00FF6A56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FF6A56" w:rsidRPr="00DB6B2F" w:rsidRDefault="00FF6A56" w:rsidP="00FF6A56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FF6A56" w:rsidRPr="00DB6B2F" w:rsidRDefault="00FF6A56" w:rsidP="00FF6A56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4B0EE4" w:rsidRPr="00DB6B2F" w:rsidRDefault="00300796" w:rsidP="0056516E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DB6B2F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</w:t>
      </w:r>
      <w:r w:rsidR="004B0EE4" w:rsidRPr="00DB6B2F">
        <w:rPr>
          <w:rFonts w:asciiTheme="majorBidi" w:hAnsiTheme="majorBidi" w:cstheme="majorBidi"/>
          <w:b/>
          <w:bCs/>
          <w:sz w:val="16"/>
          <w:szCs w:val="16"/>
        </w:rPr>
        <w:t>PRESS/</w:t>
      </w:r>
      <w:r w:rsidR="0056516E" w:rsidRPr="00DB6B2F">
        <w:rPr>
          <w:rFonts w:asciiTheme="majorBidi" w:hAnsiTheme="majorBidi" w:cstheme="majorBidi"/>
          <w:b/>
          <w:bCs/>
          <w:sz w:val="16"/>
          <w:szCs w:val="16"/>
        </w:rPr>
        <w:t>SEP</w:t>
      </w:r>
      <w:r w:rsidR="004B0EE4" w:rsidRPr="00DB6B2F">
        <w:rPr>
          <w:rFonts w:asciiTheme="majorBidi" w:hAnsiTheme="majorBidi" w:cstheme="majorBidi"/>
          <w:b/>
          <w:bCs/>
          <w:sz w:val="16"/>
          <w:szCs w:val="16"/>
        </w:rPr>
        <w:t>. 202</w:t>
      </w:r>
      <w:r w:rsidR="00C2487D" w:rsidRPr="00DB6B2F">
        <w:rPr>
          <w:rFonts w:asciiTheme="majorBidi" w:hAnsiTheme="majorBidi" w:cstheme="majorBidi"/>
          <w:b/>
          <w:bCs/>
          <w:sz w:val="16"/>
          <w:szCs w:val="16"/>
        </w:rPr>
        <w:t>5</w:t>
      </w:r>
    </w:p>
    <w:p w:rsidR="004B0EE4" w:rsidRPr="00DB6B2F" w:rsidRDefault="004B0EE4" w:rsidP="00F92514">
      <w:pPr>
        <w:bidi w:val="0"/>
        <w:ind w:left="-810" w:right="-90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DB6B2F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300796" w:rsidRPr="00DB6B2F">
        <w:rPr>
          <w:rFonts w:asciiTheme="majorBidi" w:hAnsiTheme="majorBidi" w:cstheme="majorBidi"/>
          <w:b/>
          <w:bCs/>
          <w:sz w:val="16"/>
          <w:szCs w:val="16"/>
        </w:rPr>
        <w:t xml:space="preserve">                   </w:t>
      </w:r>
      <w:r w:rsidR="0056516E" w:rsidRPr="00DB6B2F">
        <w:rPr>
          <w:rFonts w:asciiTheme="majorBidi" w:hAnsiTheme="majorBidi" w:cstheme="majorBidi"/>
          <w:b/>
          <w:bCs/>
          <w:sz w:val="16"/>
          <w:szCs w:val="16"/>
        </w:rPr>
        <w:t xml:space="preserve">Date: </w:t>
      </w:r>
      <w:r w:rsidR="00F92514">
        <w:rPr>
          <w:rFonts w:asciiTheme="majorBidi" w:hAnsiTheme="majorBidi" w:cstheme="majorBidi"/>
          <w:b/>
          <w:bCs/>
          <w:sz w:val="16"/>
          <w:szCs w:val="16"/>
        </w:rPr>
        <w:t>02</w:t>
      </w:r>
      <w:r w:rsidR="0056516E" w:rsidRPr="00DB6B2F">
        <w:rPr>
          <w:rFonts w:asciiTheme="majorBidi" w:hAnsiTheme="majorBidi" w:cstheme="majorBidi"/>
          <w:b/>
          <w:bCs/>
          <w:sz w:val="16"/>
          <w:szCs w:val="16"/>
        </w:rPr>
        <w:t xml:space="preserve">. </w:t>
      </w:r>
      <w:r w:rsidR="00F92514">
        <w:rPr>
          <w:rFonts w:asciiTheme="majorBidi" w:hAnsiTheme="majorBidi" w:cstheme="majorBidi"/>
          <w:b/>
          <w:bCs/>
          <w:sz w:val="16"/>
          <w:szCs w:val="16"/>
        </w:rPr>
        <w:t>Dec</w:t>
      </w:r>
      <w:r w:rsidR="0056516E" w:rsidRPr="00DB6B2F">
        <w:rPr>
          <w:rFonts w:asciiTheme="majorBidi" w:hAnsiTheme="majorBidi" w:cstheme="majorBidi"/>
          <w:b/>
          <w:bCs/>
          <w:sz w:val="16"/>
          <w:szCs w:val="16"/>
        </w:rPr>
        <w:t>.2025</w:t>
      </w:r>
    </w:p>
    <w:p w:rsidR="004B04A7" w:rsidRPr="00DB6B2F" w:rsidRDefault="004B04A7" w:rsidP="004B0EE4">
      <w:pPr>
        <w:bidi w:val="0"/>
        <w:ind w:right="-900"/>
        <w:jc w:val="right"/>
        <w:rPr>
          <w:rFonts w:asciiTheme="majorBidi" w:hAnsiTheme="majorBidi" w:cstheme="majorBidi"/>
          <w:sz w:val="22"/>
          <w:szCs w:val="22"/>
        </w:rPr>
      </w:pPr>
    </w:p>
    <w:p w:rsidR="004B0EE4" w:rsidRPr="00DB6B2F" w:rsidRDefault="00300796" w:rsidP="00300796">
      <w:pPr>
        <w:bidi w:val="0"/>
        <w:ind w:right="-90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DB6B2F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</w:t>
      </w:r>
      <w:r w:rsidR="004B0EE4" w:rsidRPr="00DB6B2F">
        <w:rPr>
          <w:rFonts w:asciiTheme="majorBidi" w:hAnsiTheme="majorBidi" w:cstheme="majorBidi"/>
          <w:sz w:val="22"/>
          <w:szCs w:val="22"/>
        </w:rPr>
        <w:t>The Hashemite Kingdom of Jordan</w:t>
      </w:r>
    </w:p>
    <w:p w:rsidR="00B522E7" w:rsidRPr="00DB6B2F" w:rsidRDefault="008B5977" w:rsidP="006D7102">
      <w:pPr>
        <w:bidi w:val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pict>
          <v:rect id="_x0000_i1025" style="width:6in;height:1.25pt" o:hralign="center" o:hrstd="t" o:hr="t" fillcolor="#a0a0a0" stroked="f"/>
        </w:pict>
      </w:r>
    </w:p>
    <w:p w:rsidR="00B522E7" w:rsidRPr="00DB6B2F" w:rsidRDefault="00B522E7" w:rsidP="00B522E7">
      <w:pPr>
        <w:bidi w:val="0"/>
        <w:jc w:val="center"/>
        <w:rPr>
          <w:rFonts w:asciiTheme="majorBidi" w:hAnsiTheme="majorBidi" w:cstheme="majorBidi"/>
          <w:b/>
          <w:bCs/>
        </w:rPr>
      </w:pPr>
    </w:p>
    <w:p w:rsidR="0032770F" w:rsidRPr="00DB6B2F" w:rsidRDefault="00770672" w:rsidP="00770672">
      <w:pPr>
        <w:bidi w:val="0"/>
        <w:jc w:val="center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  <w:b/>
          <w:bCs/>
        </w:rPr>
        <w:t>Press</w:t>
      </w:r>
      <w:r w:rsidR="00B522E7" w:rsidRPr="00DB6B2F">
        <w:rPr>
          <w:rFonts w:asciiTheme="majorBidi" w:hAnsiTheme="majorBidi" w:cstheme="majorBidi"/>
          <w:b/>
          <w:bCs/>
        </w:rPr>
        <w:t xml:space="preserve"> Release </w:t>
      </w:r>
      <w:r w:rsidR="00AB5D80" w:rsidRPr="00DB6B2F">
        <w:rPr>
          <w:rFonts w:asciiTheme="majorBidi" w:hAnsiTheme="majorBidi" w:cstheme="majorBidi"/>
        </w:rPr>
        <w:t xml:space="preserve">             </w:t>
      </w:r>
      <w:r w:rsidR="00084C4B" w:rsidRPr="00DB6B2F">
        <w:rPr>
          <w:rFonts w:asciiTheme="majorBidi" w:hAnsiTheme="majorBidi" w:cstheme="majorBidi"/>
        </w:rPr>
        <w:t xml:space="preserve">  </w:t>
      </w:r>
    </w:p>
    <w:p w:rsidR="004B0EE4" w:rsidRPr="00DB6B2F" w:rsidRDefault="00084C4B" w:rsidP="0056516E">
      <w:pPr>
        <w:bidi w:val="0"/>
        <w:jc w:val="center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</w:rPr>
        <w:t xml:space="preserve"> </w:t>
      </w:r>
      <w:bookmarkStart w:id="0" w:name="OLE_LINK3"/>
      <w:bookmarkStart w:id="1" w:name="OLE_LINK4"/>
      <w:bookmarkStart w:id="2" w:name="OLE_LINK25"/>
      <w:bookmarkStart w:id="3" w:name="OLE_LINK26"/>
      <w:bookmarkStart w:id="4" w:name="OLE_LINK5"/>
      <w:bookmarkStart w:id="5" w:name="OLE_LINK6"/>
      <w:r w:rsidR="0006343F" w:rsidRPr="00DB6B2F">
        <w:rPr>
          <w:rFonts w:asciiTheme="majorBidi" w:hAnsiTheme="majorBidi" w:cstheme="majorBidi"/>
          <w:b/>
          <w:bCs/>
        </w:rPr>
        <w:t xml:space="preserve">Department of Statistics: </w:t>
      </w:r>
      <w:bookmarkEnd w:id="0"/>
      <w:bookmarkEnd w:id="1"/>
      <w:r w:rsidR="00AA1601" w:rsidRPr="00DB6B2F">
        <w:rPr>
          <w:rFonts w:asciiTheme="majorBidi" w:hAnsiTheme="majorBidi" w:cstheme="majorBidi"/>
          <w:b/>
          <w:bCs/>
        </w:rPr>
        <w:t xml:space="preserve">National Exports Grew by </w:t>
      </w:r>
      <w:r w:rsidR="0056516E" w:rsidRPr="00DB6B2F">
        <w:rPr>
          <w:rFonts w:asciiTheme="majorBidi" w:hAnsiTheme="majorBidi" w:cstheme="majorBidi"/>
          <w:b/>
          <w:bCs/>
        </w:rPr>
        <w:t>9.1</w:t>
      </w:r>
      <w:r w:rsidR="00AA1601" w:rsidRPr="00DB6B2F">
        <w:rPr>
          <w:rFonts w:asciiTheme="majorBidi" w:hAnsiTheme="majorBidi" w:cstheme="majorBidi"/>
          <w:b/>
          <w:bCs/>
        </w:rPr>
        <w:t xml:space="preserve">% </w:t>
      </w:r>
      <w:r w:rsidR="00770672" w:rsidRPr="00DB6B2F">
        <w:rPr>
          <w:rFonts w:asciiTheme="majorBidi" w:hAnsiTheme="majorBidi" w:cstheme="majorBidi"/>
          <w:b/>
          <w:bCs/>
        </w:rPr>
        <w:t>D</w:t>
      </w:r>
      <w:r w:rsidR="00AA1601" w:rsidRPr="00DB6B2F">
        <w:rPr>
          <w:rFonts w:asciiTheme="majorBidi" w:hAnsiTheme="majorBidi" w:cstheme="majorBidi"/>
          <w:b/>
          <w:bCs/>
        </w:rPr>
        <w:t xml:space="preserve">uring the </w:t>
      </w:r>
      <w:r w:rsidR="00770672" w:rsidRPr="00DB6B2F">
        <w:rPr>
          <w:rFonts w:asciiTheme="majorBidi" w:hAnsiTheme="majorBidi" w:cstheme="majorBidi"/>
          <w:b/>
          <w:bCs/>
        </w:rPr>
        <w:t>F</w:t>
      </w:r>
      <w:r w:rsidR="00AA1601" w:rsidRPr="00DB6B2F">
        <w:rPr>
          <w:rFonts w:asciiTheme="majorBidi" w:hAnsiTheme="majorBidi" w:cstheme="majorBidi"/>
          <w:b/>
          <w:bCs/>
        </w:rPr>
        <w:t xml:space="preserve">irst </w:t>
      </w:r>
      <w:r w:rsidR="0056516E" w:rsidRPr="00DB6B2F">
        <w:rPr>
          <w:rFonts w:asciiTheme="majorBidi" w:hAnsiTheme="majorBidi" w:cstheme="majorBidi"/>
          <w:b/>
          <w:bCs/>
        </w:rPr>
        <w:t>Nine</w:t>
      </w:r>
      <w:r w:rsidR="00AA1601" w:rsidRPr="00DB6B2F">
        <w:rPr>
          <w:rFonts w:asciiTheme="majorBidi" w:hAnsiTheme="majorBidi" w:cstheme="majorBidi"/>
          <w:b/>
          <w:bCs/>
        </w:rPr>
        <w:t xml:space="preserve"> </w:t>
      </w:r>
      <w:r w:rsidR="00770672" w:rsidRPr="00DB6B2F">
        <w:rPr>
          <w:rFonts w:asciiTheme="majorBidi" w:hAnsiTheme="majorBidi" w:cstheme="majorBidi"/>
          <w:b/>
          <w:bCs/>
        </w:rPr>
        <w:t>M</w:t>
      </w:r>
      <w:r w:rsidR="00AA1601" w:rsidRPr="00DB6B2F">
        <w:rPr>
          <w:rFonts w:asciiTheme="majorBidi" w:hAnsiTheme="majorBidi" w:cstheme="majorBidi"/>
          <w:b/>
          <w:bCs/>
        </w:rPr>
        <w:t>onths of 2025.</w:t>
      </w:r>
    </w:p>
    <w:p w:rsidR="00EC086A" w:rsidRPr="00DB6B2F" w:rsidRDefault="00EC086A" w:rsidP="00895490">
      <w:pPr>
        <w:ind w:left="-720" w:right="-990"/>
        <w:jc w:val="center"/>
        <w:rPr>
          <w:rFonts w:asciiTheme="majorBidi" w:hAnsiTheme="majorBidi" w:cstheme="majorBidi"/>
        </w:rPr>
      </w:pPr>
      <w:bookmarkStart w:id="6" w:name="_GoBack"/>
      <w:bookmarkEnd w:id="6"/>
    </w:p>
    <w:bookmarkEnd w:id="2"/>
    <w:bookmarkEnd w:id="3"/>
    <w:p w:rsidR="007D18F4" w:rsidRPr="00DB6B2F" w:rsidRDefault="00066A09" w:rsidP="00EE6731">
      <w:pPr>
        <w:bidi w:val="0"/>
        <w:spacing w:before="120" w:after="120" w:line="360" w:lineRule="auto"/>
        <w:ind w:left="-720" w:right="-990"/>
        <w:jc w:val="lowKashida"/>
        <w:rPr>
          <w:rFonts w:asciiTheme="majorBidi" w:hAnsiTheme="majorBidi" w:cstheme="majorBidi"/>
        </w:rPr>
      </w:pPr>
      <w:r w:rsidRPr="007912B0">
        <w:rPr>
          <w:rFonts w:asciiTheme="majorBidi" w:hAnsiTheme="majorBidi" w:cstheme="majorBidi"/>
          <w:color w:val="FF0000"/>
        </w:rPr>
        <w:t>The Department of Statistics</w:t>
      </w:r>
      <w:r w:rsidR="00856C43" w:rsidRPr="007912B0">
        <w:rPr>
          <w:rFonts w:asciiTheme="majorBidi" w:hAnsiTheme="majorBidi" w:cstheme="majorBidi"/>
          <w:color w:val="FF0000"/>
        </w:rPr>
        <w:t xml:space="preserve"> </w:t>
      </w:r>
      <w:r w:rsidR="0018519E" w:rsidRPr="007912B0">
        <w:rPr>
          <w:rFonts w:asciiTheme="majorBidi" w:hAnsiTheme="majorBidi" w:cstheme="majorBidi"/>
          <w:color w:val="FF0000"/>
        </w:rPr>
        <w:t xml:space="preserve">issued its monthly report on </w:t>
      </w:r>
      <w:r w:rsidR="00045E3E" w:rsidRPr="007912B0">
        <w:rPr>
          <w:rFonts w:asciiTheme="majorBidi" w:hAnsiTheme="majorBidi" w:cstheme="majorBidi"/>
          <w:color w:val="FF0000"/>
        </w:rPr>
        <w:t xml:space="preserve">External </w:t>
      </w:r>
      <w:r w:rsidR="00D521D4" w:rsidRPr="007912B0">
        <w:rPr>
          <w:rFonts w:asciiTheme="majorBidi" w:hAnsiTheme="majorBidi" w:cstheme="majorBidi"/>
          <w:color w:val="FF0000"/>
        </w:rPr>
        <w:t>T</w:t>
      </w:r>
      <w:r w:rsidR="00856C43" w:rsidRPr="007912B0">
        <w:rPr>
          <w:rFonts w:asciiTheme="majorBidi" w:hAnsiTheme="majorBidi" w:cstheme="majorBidi"/>
          <w:color w:val="FF0000"/>
        </w:rPr>
        <w:t>rade</w:t>
      </w:r>
      <w:r w:rsidRPr="007912B0">
        <w:rPr>
          <w:rFonts w:asciiTheme="majorBidi" w:hAnsiTheme="majorBidi" w:cstheme="majorBidi"/>
          <w:color w:val="FF0000"/>
        </w:rPr>
        <w:t xml:space="preserve"> </w:t>
      </w:r>
      <w:r w:rsidR="00856C43" w:rsidRPr="007912B0">
        <w:rPr>
          <w:rFonts w:asciiTheme="majorBidi" w:hAnsiTheme="majorBidi" w:cstheme="majorBidi"/>
          <w:color w:val="FF0000"/>
        </w:rPr>
        <w:t>in Jordan</w:t>
      </w:r>
      <w:r w:rsidR="0018519E" w:rsidRPr="007912B0">
        <w:rPr>
          <w:rFonts w:asciiTheme="majorBidi" w:hAnsiTheme="majorBidi" w:cstheme="majorBidi"/>
          <w:color w:val="FF0000"/>
        </w:rPr>
        <w:t xml:space="preserve">, </w:t>
      </w:r>
      <w:r w:rsidR="007D18F4" w:rsidRPr="007912B0">
        <w:rPr>
          <w:rFonts w:asciiTheme="majorBidi" w:hAnsiTheme="majorBidi" w:cstheme="majorBidi"/>
          <w:color w:val="FF0000"/>
        </w:rPr>
        <w:t xml:space="preserve">indicating </w:t>
      </w:r>
      <w:r w:rsidR="0056516E" w:rsidRPr="007912B0">
        <w:rPr>
          <w:rFonts w:asciiTheme="majorBidi" w:hAnsiTheme="majorBidi" w:cstheme="majorBidi"/>
          <w:color w:val="FF0000"/>
        </w:rPr>
        <w:t>a</w:t>
      </w:r>
      <w:r w:rsidR="00264FBB" w:rsidRPr="007912B0">
        <w:rPr>
          <w:rFonts w:asciiTheme="majorBidi" w:hAnsiTheme="majorBidi" w:cstheme="majorBidi"/>
          <w:color w:val="FF0000"/>
        </w:rPr>
        <w:t xml:space="preserve"> </w:t>
      </w:r>
      <w:r w:rsidR="0056516E" w:rsidRPr="007912B0">
        <w:rPr>
          <w:rFonts w:asciiTheme="majorBidi" w:hAnsiTheme="majorBidi" w:cstheme="majorBidi"/>
          <w:color w:val="FF0000"/>
        </w:rPr>
        <w:t>9.1</w:t>
      </w:r>
      <w:r w:rsidR="00264FBB" w:rsidRPr="007912B0">
        <w:rPr>
          <w:rFonts w:asciiTheme="majorBidi" w:hAnsiTheme="majorBidi" w:cstheme="majorBidi"/>
          <w:color w:val="FF0000"/>
        </w:rPr>
        <w:t xml:space="preserve">% increase in </w:t>
      </w:r>
      <w:r w:rsidR="0056516E" w:rsidRPr="007912B0">
        <w:rPr>
          <w:rFonts w:asciiTheme="majorBidi" w:hAnsiTheme="majorBidi" w:cstheme="majorBidi"/>
          <w:color w:val="FF0000"/>
        </w:rPr>
        <w:t xml:space="preserve">the </w:t>
      </w:r>
      <w:r w:rsidR="00264FBB" w:rsidRPr="007912B0">
        <w:rPr>
          <w:rFonts w:asciiTheme="majorBidi" w:hAnsiTheme="majorBidi" w:cstheme="majorBidi"/>
          <w:color w:val="FF0000"/>
        </w:rPr>
        <w:t xml:space="preserve">national exports and a </w:t>
      </w:r>
      <w:r w:rsidR="0056516E" w:rsidRPr="007912B0">
        <w:rPr>
          <w:rFonts w:asciiTheme="majorBidi" w:hAnsiTheme="majorBidi" w:cstheme="majorBidi"/>
          <w:color w:val="FF0000"/>
        </w:rPr>
        <w:t>6.5</w:t>
      </w:r>
      <w:r w:rsidR="007948FB" w:rsidRPr="007912B0">
        <w:rPr>
          <w:rFonts w:asciiTheme="majorBidi" w:hAnsiTheme="majorBidi" w:cstheme="majorBidi"/>
          <w:color w:val="FF0000"/>
        </w:rPr>
        <w:t xml:space="preserve">% increase in the re-exports during the first </w:t>
      </w:r>
      <w:r w:rsidR="0056516E" w:rsidRPr="007912B0">
        <w:rPr>
          <w:rFonts w:asciiTheme="majorBidi" w:hAnsiTheme="majorBidi" w:cstheme="majorBidi"/>
          <w:color w:val="FF0000"/>
        </w:rPr>
        <w:t>nine</w:t>
      </w:r>
      <w:r w:rsidR="007948FB" w:rsidRPr="007912B0">
        <w:rPr>
          <w:rFonts w:asciiTheme="majorBidi" w:hAnsiTheme="majorBidi" w:cstheme="majorBidi"/>
          <w:color w:val="FF0000"/>
        </w:rPr>
        <w:t xml:space="preserve"> months of 2025</w:t>
      </w:r>
      <w:r w:rsidR="00770672" w:rsidRPr="007912B0">
        <w:rPr>
          <w:rFonts w:asciiTheme="majorBidi" w:hAnsiTheme="majorBidi" w:cstheme="majorBidi"/>
          <w:color w:val="FF0000"/>
        </w:rPr>
        <w:t>.</w:t>
      </w:r>
      <w:r w:rsidR="00AA1601" w:rsidRPr="007912B0">
        <w:rPr>
          <w:rFonts w:asciiTheme="majorBidi" w:hAnsiTheme="majorBidi" w:cstheme="majorBidi"/>
          <w:color w:val="FF0000"/>
        </w:rPr>
        <w:t xml:space="preserve"> </w:t>
      </w:r>
      <w:r w:rsidR="00770672" w:rsidRPr="00DB6B2F">
        <w:rPr>
          <w:rFonts w:asciiTheme="majorBidi" w:hAnsiTheme="majorBidi" w:cstheme="majorBidi"/>
        </w:rPr>
        <w:t xml:space="preserve">Accordingly, </w:t>
      </w:r>
      <w:r w:rsidR="00160248" w:rsidRPr="00DB6B2F">
        <w:rPr>
          <w:rFonts w:asciiTheme="majorBidi" w:hAnsiTheme="majorBidi" w:cstheme="majorBidi"/>
        </w:rPr>
        <w:t>the total</w:t>
      </w:r>
      <w:r w:rsidR="000A19FC" w:rsidRPr="00DB6B2F">
        <w:rPr>
          <w:rFonts w:asciiTheme="majorBidi" w:hAnsiTheme="majorBidi" w:cstheme="majorBidi"/>
        </w:rPr>
        <w:t xml:space="preserve"> export</w:t>
      </w:r>
      <w:r w:rsidR="00160248" w:rsidRPr="00DB6B2F">
        <w:rPr>
          <w:rFonts w:asciiTheme="majorBidi" w:hAnsiTheme="majorBidi" w:cstheme="majorBidi"/>
        </w:rPr>
        <w:t>s</w:t>
      </w:r>
      <w:r w:rsidR="000A19FC" w:rsidRPr="00DB6B2F">
        <w:rPr>
          <w:rFonts w:asciiTheme="majorBidi" w:hAnsiTheme="majorBidi" w:cstheme="majorBidi"/>
        </w:rPr>
        <w:t xml:space="preserve"> </w:t>
      </w:r>
      <w:r w:rsidR="00AA1601" w:rsidRPr="00DB6B2F">
        <w:rPr>
          <w:rFonts w:asciiTheme="majorBidi" w:hAnsiTheme="majorBidi" w:cstheme="majorBidi"/>
        </w:rPr>
        <w:t xml:space="preserve">have increased </w:t>
      </w:r>
      <w:r w:rsidR="00160248" w:rsidRPr="00DB6B2F">
        <w:rPr>
          <w:rFonts w:asciiTheme="majorBidi" w:hAnsiTheme="majorBidi" w:cstheme="majorBidi"/>
        </w:rPr>
        <w:t xml:space="preserve">by </w:t>
      </w:r>
      <w:r w:rsidR="0056516E" w:rsidRPr="00DB6B2F">
        <w:rPr>
          <w:rFonts w:asciiTheme="majorBidi" w:hAnsiTheme="majorBidi" w:cstheme="majorBidi"/>
        </w:rPr>
        <w:t>8.9</w:t>
      </w:r>
      <w:r w:rsidR="000A19FC" w:rsidRPr="00DB6B2F">
        <w:rPr>
          <w:rFonts w:asciiTheme="majorBidi" w:hAnsiTheme="majorBidi" w:cstheme="majorBidi"/>
        </w:rPr>
        <w:t xml:space="preserve">% compared to the same period in 2024. This growth coincided with a </w:t>
      </w:r>
      <w:r w:rsidR="0056516E" w:rsidRPr="00DB6B2F">
        <w:rPr>
          <w:rFonts w:asciiTheme="majorBidi" w:hAnsiTheme="majorBidi" w:cstheme="majorBidi"/>
        </w:rPr>
        <w:t>7.0</w:t>
      </w:r>
      <w:r w:rsidR="000A19FC" w:rsidRPr="00DB6B2F">
        <w:rPr>
          <w:rFonts w:asciiTheme="majorBidi" w:hAnsiTheme="majorBidi" w:cstheme="majorBidi"/>
        </w:rPr>
        <w:t xml:space="preserve">% increase in imports, resulting </w:t>
      </w:r>
      <w:r w:rsidR="00AA1601" w:rsidRPr="00DB6B2F">
        <w:rPr>
          <w:rFonts w:asciiTheme="majorBidi" w:hAnsiTheme="majorBidi" w:cstheme="majorBidi"/>
        </w:rPr>
        <w:t xml:space="preserve">in </w:t>
      </w:r>
      <w:r w:rsidR="000A19FC" w:rsidRPr="00DB6B2F">
        <w:rPr>
          <w:rFonts w:asciiTheme="majorBidi" w:hAnsiTheme="majorBidi" w:cstheme="majorBidi"/>
        </w:rPr>
        <w:t xml:space="preserve">a </w:t>
      </w:r>
      <w:r w:rsidR="0056516E" w:rsidRPr="00DB6B2F">
        <w:rPr>
          <w:rFonts w:asciiTheme="majorBidi" w:hAnsiTheme="majorBidi" w:cstheme="majorBidi"/>
        </w:rPr>
        <w:t>5.0</w:t>
      </w:r>
      <w:r w:rsidR="000A19FC" w:rsidRPr="00DB6B2F">
        <w:rPr>
          <w:rFonts w:asciiTheme="majorBidi" w:hAnsiTheme="majorBidi" w:cstheme="majorBidi"/>
        </w:rPr>
        <w:t xml:space="preserve">% increase in the trade balance deficit during the first </w:t>
      </w:r>
      <w:r w:rsidR="00EE6731" w:rsidRPr="00DB6B2F">
        <w:rPr>
          <w:rFonts w:asciiTheme="majorBidi" w:hAnsiTheme="majorBidi" w:cstheme="majorBidi"/>
        </w:rPr>
        <w:t>nine</w:t>
      </w:r>
      <w:r w:rsidR="00AA1601" w:rsidRPr="00DB6B2F">
        <w:rPr>
          <w:rFonts w:asciiTheme="majorBidi" w:hAnsiTheme="majorBidi" w:cstheme="majorBidi"/>
        </w:rPr>
        <w:t xml:space="preserve"> months</w:t>
      </w:r>
      <w:r w:rsidR="00160248" w:rsidRPr="00DB6B2F">
        <w:rPr>
          <w:rFonts w:asciiTheme="majorBidi" w:hAnsiTheme="majorBidi" w:cstheme="majorBidi"/>
        </w:rPr>
        <w:t xml:space="preserve"> </w:t>
      </w:r>
      <w:r w:rsidR="000A19FC" w:rsidRPr="00DB6B2F">
        <w:rPr>
          <w:rFonts w:asciiTheme="majorBidi" w:hAnsiTheme="majorBidi" w:cstheme="majorBidi"/>
        </w:rPr>
        <w:t>of 2025 compared to the same period in 2024.</w:t>
      </w:r>
    </w:p>
    <w:p w:rsidR="00AA1601" w:rsidRPr="00DB6B2F" w:rsidRDefault="00AA1601" w:rsidP="00AA1601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  <w:r w:rsidRPr="00DB6B2F">
        <w:rPr>
          <w:rFonts w:asciiTheme="majorBidi" w:hAnsiTheme="majorBidi" w:cstheme="majorBidi"/>
          <w:b/>
          <w:bCs/>
        </w:rPr>
        <w:t>Export</w:t>
      </w:r>
      <w:r w:rsidR="00CA05F6" w:rsidRPr="00DB6B2F">
        <w:rPr>
          <w:rFonts w:asciiTheme="majorBidi" w:hAnsiTheme="majorBidi" w:cstheme="majorBidi"/>
          <w:b/>
          <w:bCs/>
        </w:rPr>
        <w:t>s</w:t>
      </w:r>
      <w:r w:rsidRPr="00DB6B2F">
        <w:rPr>
          <w:rFonts w:asciiTheme="majorBidi" w:hAnsiTheme="majorBidi" w:cstheme="majorBidi"/>
          <w:b/>
          <w:bCs/>
        </w:rPr>
        <w:t>-to-Import</w:t>
      </w:r>
      <w:r w:rsidR="00CA05F6" w:rsidRPr="00DB6B2F">
        <w:rPr>
          <w:rFonts w:asciiTheme="majorBidi" w:hAnsiTheme="majorBidi" w:cstheme="majorBidi"/>
          <w:b/>
          <w:bCs/>
        </w:rPr>
        <w:t>s</w:t>
      </w:r>
      <w:r w:rsidRPr="00DB6B2F">
        <w:rPr>
          <w:rFonts w:asciiTheme="majorBidi" w:hAnsiTheme="majorBidi" w:cstheme="majorBidi"/>
          <w:b/>
          <w:bCs/>
        </w:rPr>
        <w:t xml:space="preserve"> Coverage Ratio</w:t>
      </w:r>
    </w:p>
    <w:p w:rsidR="00612902" w:rsidRPr="00DB6B2F" w:rsidRDefault="00AA1601" w:rsidP="007912B0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</w:rPr>
        <w:t>The total export</w:t>
      </w:r>
      <w:r w:rsidR="00CA05F6" w:rsidRPr="00DB6B2F">
        <w:rPr>
          <w:rFonts w:asciiTheme="majorBidi" w:hAnsiTheme="majorBidi" w:cstheme="majorBidi"/>
        </w:rPr>
        <w:t>s</w:t>
      </w:r>
      <w:r w:rsidRPr="00DB6B2F">
        <w:rPr>
          <w:rFonts w:asciiTheme="majorBidi" w:hAnsiTheme="majorBidi" w:cstheme="majorBidi"/>
        </w:rPr>
        <w:t xml:space="preserve"> coverage ratio to imports reached 51% during the first </w:t>
      </w:r>
      <w:r w:rsidR="0039563C" w:rsidRPr="00DB6B2F">
        <w:rPr>
          <w:rFonts w:asciiTheme="majorBidi" w:hAnsiTheme="majorBidi" w:cstheme="majorBidi"/>
        </w:rPr>
        <w:t>nine</w:t>
      </w:r>
      <w:r w:rsidR="00832A3D" w:rsidRPr="00DB6B2F">
        <w:rPr>
          <w:rFonts w:asciiTheme="majorBidi" w:hAnsiTheme="majorBidi" w:cstheme="majorBidi"/>
        </w:rPr>
        <w:t xml:space="preserve"> months of 2025 </w:t>
      </w:r>
      <w:r w:rsidRPr="00DB6B2F">
        <w:rPr>
          <w:rFonts w:asciiTheme="majorBidi" w:hAnsiTheme="majorBidi" w:cstheme="majorBidi"/>
        </w:rPr>
        <w:t>compared to 50% for the same period in 2024, indicating an in</w:t>
      </w:r>
      <w:r w:rsidR="00832A3D" w:rsidRPr="00DB6B2F">
        <w:rPr>
          <w:rFonts w:asciiTheme="majorBidi" w:hAnsiTheme="majorBidi" w:cstheme="majorBidi"/>
        </w:rPr>
        <w:t>crease by one percentage point</w:t>
      </w:r>
      <w:r w:rsidRPr="00DB6B2F">
        <w:rPr>
          <w:rFonts w:asciiTheme="majorBidi" w:hAnsiTheme="majorBidi" w:cstheme="majorBidi"/>
        </w:rPr>
        <w:t xml:space="preserve">. Meanwhile, the coverage ratio for </w:t>
      </w:r>
      <w:r w:rsidR="0039563C" w:rsidRPr="00DB6B2F">
        <w:rPr>
          <w:rFonts w:asciiTheme="majorBidi" w:hAnsiTheme="majorBidi" w:cstheme="majorBidi"/>
        </w:rPr>
        <w:t>September</w:t>
      </w:r>
      <w:r w:rsidRPr="00DB6B2F">
        <w:rPr>
          <w:rFonts w:asciiTheme="majorBidi" w:hAnsiTheme="majorBidi" w:cstheme="majorBidi"/>
        </w:rPr>
        <w:t xml:space="preserve"> 2025 alone has reached 5</w:t>
      </w:r>
      <w:r w:rsidR="00B67F4E" w:rsidRPr="00DB6B2F">
        <w:rPr>
          <w:rFonts w:asciiTheme="majorBidi" w:hAnsiTheme="majorBidi" w:cstheme="majorBidi"/>
        </w:rPr>
        <w:t>3</w:t>
      </w:r>
      <w:r w:rsidRPr="00DB6B2F">
        <w:rPr>
          <w:rFonts w:asciiTheme="majorBidi" w:hAnsiTheme="majorBidi" w:cstheme="majorBidi"/>
        </w:rPr>
        <w:t xml:space="preserve">% </w:t>
      </w:r>
      <w:r w:rsidR="00B67F4E" w:rsidRPr="00DB6B2F">
        <w:rPr>
          <w:rFonts w:asciiTheme="majorBidi" w:hAnsiTheme="majorBidi" w:cstheme="majorBidi"/>
        </w:rPr>
        <w:t>compared to 54% in September</w:t>
      </w:r>
      <w:r w:rsidR="00612902" w:rsidRPr="00DB6B2F">
        <w:rPr>
          <w:rFonts w:asciiTheme="majorBidi" w:hAnsiTheme="majorBidi" w:cstheme="majorBidi"/>
        </w:rPr>
        <w:t xml:space="preserve"> 2024</w:t>
      </w:r>
      <w:r w:rsidR="007912B0">
        <w:rPr>
          <w:rFonts w:asciiTheme="majorBidi" w:hAnsiTheme="majorBidi" w:cstheme="majorBidi"/>
        </w:rPr>
        <w:t xml:space="preserve">, indicating a decrease by </w:t>
      </w:r>
      <w:r w:rsidR="00C245BD">
        <w:rPr>
          <w:rFonts w:asciiTheme="majorBidi" w:hAnsiTheme="majorBidi" w:cstheme="majorBidi"/>
        </w:rPr>
        <w:t xml:space="preserve">one percentage point. </w:t>
      </w:r>
      <w:r w:rsidR="00612902" w:rsidRPr="00DB6B2F">
        <w:rPr>
          <w:rFonts w:asciiTheme="majorBidi" w:hAnsiTheme="majorBidi" w:cstheme="majorBidi"/>
        </w:rPr>
        <w:t xml:space="preserve"> </w:t>
      </w:r>
    </w:p>
    <w:p w:rsidR="009D5BEB" w:rsidRPr="00DB6B2F" w:rsidRDefault="005B5315" w:rsidP="00AA1601">
      <w:pPr>
        <w:bidi w:val="0"/>
        <w:spacing w:before="120" w:after="120" w:line="360" w:lineRule="auto"/>
        <w:ind w:left="-720" w:right="-990"/>
        <w:rPr>
          <w:rFonts w:asciiTheme="majorBidi" w:hAnsiTheme="majorBidi" w:cstheme="majorBidi"/>
          <w:b/>
          <w:bCs/>
        </w:rPr>
      </w:pPr>
      <w:r w:rsidRPr="00DB6B2F">
        <w:rPr>
          <w:rFonts w:asciiTheme="majorBidi" w:hAnsiTheme="majorBidi" w:cstheme="majorBidi"/>
          <w:b/>
          <w:bCs/>
        </w:rPr>
        <w:t>Economic Figures &amp; Indicators During the 1</w:t>
      </w:r>
      <w:r w:rsidRPr="00DB6B2F">
        <w:rPr>
          <w:rFonts w:asciiTheme="majorBidi" w:hAnsiTheme="majorBidi" w:cstheme="majorBidi"/>
          <w:b/>
          <w:bCs/>
          <w:vertAlign w:val="superscript"/>
        </w:rPr>
        <w:t>st</w:t>
      </w:r>
      <w:r w:rsidRPr="00DB6B2F">
        <w:rPr>
          <w:rFonts w:asciiTheme="majorBidi" w:hAnsiTheme="majorBidi" w:cstheme="majorBidi"/>
          <w:b/>
          <w:bCs/>
        </w:rPr>
        <w:t xml:space="preserve"> Nine Months of 2025</w:t>
      </w:r>
    </w:p>
    <w:p w:rsidR="00AA1601" w:rsidRPr="00DB6B2F" w:rsidRDefault="00AA1601" w:rsidP="005B5315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</w:rPr>
        <w:t>The</w:t>
      </w:r>
      <w:r w:rsidR="009D5BEB" w:rsidRPr="00DB6B2F">
        <w:rPr>
          <w:rFonts w:asciiTheme="majorBidi" w:hAnsiTheme="majorBidi" w:cstheme="majorBidi"/>
        </w:rPr>
        <w:t xml:space="preserve"> value of</w:t>
      </w:r>
      <w:r w:rsidRPr="00DB6B2F">
        <w:rPr>
          <w:rFonts w:asciiTheme="majorBidi" w:hAnsiTheme="majorBidi" w:cstheme="majorBidi"/>
        </w:rPr>
        <w:t xml:space="preserve"> total export</w:t>
      </w:r>
      <w:r w:rsidR="00CA05F6" w:rsidRPr="00DB6B2F">
        <w:rPr>
          <w:rFonts w:asciiTheme="majorBidi" w:hAnsiTheme="majorBidi" w:cstheme="majorBidi"/>
        </w:rPr>
        <w:t>s</w:t>
      </w:r>
      <w:r w:rsidRPr="00DB6B2F">
        <w:rPr>
          <w:rFonts w:asciiTheme="majorBidi" w:hAnsiTheme="majorBidi" w:cstheme="majorBidi"/>
        </w:rPr>
        <w:t xml:space="preserve"> during </w:t>
      </w:r>
      <w:r w:rsidR="009D5BEB" w:rsidRPr="00DB6B2F">
        <w:rPr>
          <w:rFonts w:asciiTheme="majorBidi" w:hAnsiTheme="majorBidi" w:cstheme="majorBidi"/>
        </w:rPr>
        <w:t>th</w:t>
      </w:r>
      <w:r w:rsidR="005B5315" w:rsidRPr="00DB6B2F">
        <w:rPr>
          <w:rFonts w:asciiTheme="majorBidi" w:hAnsiTheme="majorBidi" w:cstheme="majorBidi"/>
        </w:rPr>
        <w:t xml:space="preserve">is period </w:t>
      </w:r>
      <w:r w:rsidR="00320F0B" w:rsidRPr="00DB6B2F">
        <w:rPr>
          <w:rFonts w:asciiTheme="majorBidi" w:hAnsiTheme="majorBidi" w:cstheme="majorBidi"/>
        </w:rPr>
        <w:t xml:space="preserve">reached </w:t>
      </w:r>
      <w:r w:rsidR="005B5315" w:rsidRPr="00DB6B2F">
        <w:rPr>
          <w:rFonts w:asciiTheme="majorBidi" w:hAnsiTheme="majorBidi" w:cstheme="majorBidi"/>
        </w:rPr>
        <w:t>7,690</w:t>
      </w:r>
      <w:r w:rsidR="00320F0B" w:rsidRPr="00DB6B2F">
        <w:rPr>
          <w:rFonts w:asciiTheme="majorBidi" w:hAnsiTheme="majorBidi" w:cstheme="majorBidi"/>
        </w:rPr>
        <w:t xml:space="preserve"> million JOD, comprising national exports of 6,</w:t>
      </w:r>
      <w:r w:rsidR="005B5315" w:rsidRPr="00DB6B2F">
        <w:rPr>
          <w:rFonts w:asciiTheme="majorBidi" w:hAnsiTheme="majorBidi" w:cstheme="majorBidi"/>
        </w:rPr>
        <w:t>997</w:t>
      </w:r>
      <w:r w:rsidR="00320F0B" w:rsidRPr="00DB6B2F">
        <w:rPr>
          <w:rFonts w:asciiTheme="majorBidi" w:hAnsiTheme="majorBidi" w:cstheme="majorBidi"/>
        </w:rPr>
        <w:t xml:space="preserve"> million JOD and re-exports of 6</w:t>
      </w:r>
      <w:r w:rsidR="005B5315" w:rsidRPr="00DB6B2F">
        <w:rPr>
          <w:rFonts w:asciiTheme="majorBidi" w:hAnsiTheme="majorBidi" w:cstheme="majorBidi"/>
        </w:rPr>
        <w:t>93</w:t>
      </w:r>
      <w:r w:rsidR="00320F0B" w:rsidRPr="00DB6B2F">
        <w:rPr>
          <w:rFonts w:asciiTheme="majorBidi" w:hAnsiTheme="majorBidi" w:cstheme="majorBidi"/>
        </w:rPr>
        <w:t xml:space="preserve"> million JOD. Meanwhile, </w:t>
      </w:r>
      <w:r w:rsidR="005B5315" w:rsidRPr="00DB6B2F">
        <w:rPr>
          <w:rFonts w:asciiTheme="majorBidi" w:hAnsiTheme="majorBidi" w:cstheme="majorBidi"/>
        </w:rPr>
        <w:t xml:space="preserve">the </w:t>
      </w:r>
      <w:r w:rsidR="00320F0B" w:rsidRPr="00DB6B2F">
        <w:rPr>
          <w:rFonts w:asciiTheme="majorBidi" w:hAnsiTheme="majorBidi" w:cstheme="majorBidi"/>
        </w:rPr>
        <w:t xml:space="preserve">imports </w:t>
      </w:r>
      <w:r w:rsidR="005B5315" w:rsidRPr="00DB6B2F">
        <w:rPr>
          <w:rFonts w:asciiTheme="majorBidi" w:hAnsiTheme="majorBidi" w:cstheme="majorBidi"/>
        </w:rPr>
        <w:t>value reached 14,986</w:t>
      </w:r>
      <w:r w:rsidRPr="00DB6B2F">
        <w:rPr>
          <w:rFonts w:asciiTheme="majorBidi" w:hAnsiTheme="majorBidi" w:cstheme="majorBidi"/>
        </w:rPr>
        <w:t xml:space="preserve"> million JOD during the same period.  Accordingly, the trade balance deficit (which represents the difference between the value of total exports and the value of imports) has reached (</w:t>
      </w:r>
      <w:r w:rsidR="005B5315" w:rsidRPr="00DB6B2F">
        <w:rPr>
          <w:rFonts w:asciiTheme="majorBidi" w:hAnsiTheme="majorBidi" w:cstheme="majorBidi"/>
        </w:rPr>
        <w:t>7,296</w:t>
      </w:r>
      <w:r w:rsidRPr="00DB6B2F">
        <w:rPr>
          <w:rFonts w:asciiTheme="majorBidi" w:hAnsiTheme="majorBidi" w:cstheme="majorBidi"/>
        </w:rPr>
        <w:t xml:space="preserve">) million JOD in the </w:t>
      </w:r>
      <w:r w:rsidR="00A564A6" w:rsidRPr="00DB6B2F">
        <w:rPr>
          <w:rFonts w:asciiTheme="majorBidi" w:hAnsiTheme="majorBidi" w:cstheme="majorBidi"/>
        </w:rPr>
        <w:t xml:space="preserve">first </w:t>
      </w:r>
      <w:r w:rsidR="005B5315" w:rsidRPr="00DB6B2F">
        <w:rPr>
          <w:rFonts w:asciiTheme="majorBidi" w:hAnsiTheme="majorBidi" w:cstheme="majorBidi"/>
        </w:rPr>
        <w:t xml:space="preserve">nine </w:t>
      </w:r>
      <w:r w:rsidR="00CA05F6" w:rsidRPr="00DB6B2F">
        <w:rPr>
          <w:rFonts w:asciiTheme="majorBidi" w:hAnsiTheme="majorBidi" w:cstheme="majorBidi"/>
        </w:rPr>
        <w:t xml:space="preserve">months </w:t>
      </w:r>
      <w:r w:rsidRPr="00DB6B2F">
        <w:rPr>
          <w:rFonts w:asciiTheme="majorBidi" w:hAnsiTheme="majorBidi" w:cstheme="majorBidi"/>
        </w:rPr>
        <w:t>of 2025 (i.e., trade balance deficit increased by (</w:t>
      </w:r>
      <w:r w:rsidR="005B5315" w:rsidRPr="00DB6B2F">
        <w:rPr>
          <w:rFonts w:asciiTheme="majorBidi" w:hAnsiTheme="majorBidi" w:cstheme="majorBidi"/>
        </w:rPr>
        <w:t>348</w:t>
      </w:r>
      <w:r w:rsidRPr="00DB6B2F">
        <w:rPr>
          <w:rFonts w:asciiTheme="majorBidi" w:hAnsiTheme="majorBidi" w:cstheme="majorBidi"/>
        </w:rPr>
        <w:t xml:space="preserve">) million JOD) compared to the same period in 2024. </w:t>
      </w:r>
    </w:p>
    <w:p w:rsidR="00AA1601" w:rsidRPr="00DB6B2F" w:rsidRDefault="00AA1601" w:rsidP="00AA1601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</w:p>
    <w:p w:rsidR="009D5BEB" w:rsidRPr="00DB6B2F" w:rsidRDefault="009D5BEB" w:rsidP="009D5BEB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</w:p>
    <w:p w:rsidR="00CA05F6" w:rsidRPr="00DB6B2F" w:rsidRDefault="00CA05F6" w:rsidP="00CA05F6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</w:p>
    <w:p w:rsidR="00E22F95" w:rsidRPr="00DB6B2F" w:rsidRDefault="00E22F95" w:rsidP="00CC5432">
      <w:pPr>
        <w:pStyle w:val="Caption"/>
        <w:keepNext/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DB6B2F">
        <w:rPr>
          <w:rFonts w:asciiTheme="majorBidi" w:hAnsiTheme="majorBidi" w:cstheme="majorBidi"/>
          <w:sz w:val="24"/>
          <w:szCs w:val="24"/>
        </w:rPr>
        <w:lastRenderedPageBreak/>
        <w:t>Figure</w:t>
      </w:r>
      <w:r w:rsidR="00C532C1" w:rsidRPr="00DB6B2F">
        <w:rPr>
          <w:rFonts w:asciiTheme="majorBidi" w:hAnsiTheme="majorBidi" w:cstheme="majorBidi"/>
          <w:sz w:val="24"/>
          <w:szCs w:val="24"/>
        </w:rPr>
        <w:t xml:space="preserve"> 1</w:t>
      </w:r>
      <w:r w:rsidRPr="00DB6B2F">
        <w:rPr>
          <w:rFonts w:asciiTheme="majorBidi" w:hAnsiTheme="majorBidi" w:cstheme="majorBidi"/>
          <w:sz w:val="24"/>
          <w:szCs w:val="24"/>
        </w:rPr>
        <w:t xml:space="preserve">: </w:t>
      </w:r>
      <w:r w:rsidR="00045E3E" w:rsidRPr="00DB6B2F">
        <w:rPr>
          <w:rFonts w:asciiTheme="majorBidi" w:hAnsiTheme="majorBidi" w:cstheme="majorBidi"/>
          <w:sz w:val="24"/>
          <w:szCs w:val="24"/>
        </w:rPr>
        <w:t xml:space="preserve">External </w:t>
      </w:r>
      <w:r w:rsidRPr="00DB6B2F">
        <w:rPr>
          <w:rFonts w:asciiTheme="majorBidi" w:hAnsiTheme="majorBidi" w:cstheme="majorBidi"/>
          <w:sz w:val="24"/>
          <w:szCs w:val="24"/>
        </w:rPr>
        <w:t xml:space="preserve">Trade </w:t>
      </w:r>
      <w:r w:rsidR="00B31BD3" w:rsidRPr="00DB6B2F">
        <w:rPr>
          <w:rFonts w:asciiTheme="majorBidi" w:hAnsiTheme="majorBidi" w:cstheme="majorBidi"/>
          <w:sz w:val="24"/>
          <w:szCs w:val="24"/>
        </w:rPr>
        <w:t xml:space="preserve">Monthly </w:t>
      </w:r>
      <w:r w:rsidRPr="00DB6B2F">
        <w:rPr>
          <w:rFonts w:asciiTheme="majorBidi" w:hAnsiTheme="majorBidi" w:cstheme="majorBidi"/>
          <w:sz w:val="24"/>
          <w:szCs w:val="24"/>
        </w:rPr>
        <w:t xml:space="preserve">Values </w:t>
      </w:r>
      <w:r w:rsidR="00A564A6" w:rsidRPr="00DB6B2F">
        <w:rPr>
          <w:rFonts w:asciiTheme="majorBidi" w:hAnsiTheme="majorBidi" w:cstheme="majorBidi"/>
          <w:sz w:val="24"/>
          <w:szCs w:val="24"/>
        </w:rPr>
        <w:t>D</w:t>
      </w:r>
      <w:r w:rsidR="0032770F" w:rsidRPr="00DB6B2F">
        <w:rPr>
          <w:rFonts w:asciiTheme="majorBidi" w:hAnsiTheme="majorBidi" w:cstheme="majorBidi"/>
          <w:sz w:val="24"/>
          <w:szCs w:val="24"/>
        </w:rPr>
        <w:t xml:space="preserve">uring </w:t>
      </w:r>
      <w:r w:rsidR="00B31BD3" w:rsidRPr="00DB6B2F">
        <w:rPr>
          <w:rFonts w:asciiTheme="majorBidi" w:hAnsiTheme="majorBidi" w:cstheme="majorBidi"/>
          <w:sz w:val="24"/>
          <w:szCs w:val="24"/>
        </w:rPr>
        <w:t xml:space="preserve">the </w:t>
      </w:r>
      <w:r w:rsidR="00A564A6" w:rsidRPr="00DB6B2F">
        <w:rPr>
          <w:rFonts w:asciiTheme="majorBidi" w:hAnsiTheme="majorBidi" w:cstheme="majorBidi"/>
          <w:sz w:val="24"/>
          <w:szCs w:val="24"/>
        </w:rPr>
        <w:t xml:space="preserve">First </w:t>
      </w:r>
      <w:r w:rsidR="00CC5432" w:rsidRPr="00DB6B2F">
        <w:rPr>
          <w:rFonts w:asciiTheme="majorBidi" w:hAnsiTheme="majorBidi" w:cstheme="majorBidi"/>
          <w:sz w:val="24"/>
          <w:szCs w:val="24"/>
        </w:rPr>
        <w:t>Nine</w:t>
      </w:r>
      <w:r w:rsidR="00CA05F6" w:rsidRPr="00DB6B2F">
        <w:rPr>
          <w:rFonts w:asciiTheme="majorBidi" w:hAnsiTheme="majorBidi" w:cstheme="majorBidi"/>
          <w:sz w:val="24"/>
          <w:szCs w:val="24"/>
        </w:rPr>
        <w:t xml:space="preserve"> Months </w:t>
      </w:r>
      <w:r w:rsidR="00B31BD3" w:rsidRPr="00DB6B2F">
        <w:rPr>
          <w:rFonts w:asciiTheme="majorBidi" w:hAnsiTheme="majorBidi" w:cstheme="majorBidi"/>
          <w:sz w:val="24"/>
          <w:szCs w:val="24"/>
        </w:rPr>
        <w:t xml:space="preserve">of </w:t>
      </w:r>
      <w:r w:rsidR="00D3734E" w:rsidRPr="00DB6B2F">
        <w:rPr>
          <w:rFonts w:asciiTheme="majorBidi" w:hAnsiTheme="majorBidi" w:cstheme="majorBidi"/>
          <w:sz w:val="24"/>
          <w:szCs w:val="24"/>
        </w:rPr>
        <w:t>2024</w:t>
      </w:r>
      <w:r w:rsidR="00E50A44" w:rsidRPr="00DB6B2F">
        <w:rPr>
          <w:rFonts w:asciiTheme="majorBidi" w:hAnsiTheme="majorBidi" w:cstheme="majorBidi"/>
          <w:sz w:val="24"/>
          <w:szCs w:val="24"/>
        </w:rPr>
        <w:t xml:space="preserve"> and 202</w:t>
      </w:r>
      <w:r w:rsidR="00895490" w:rsidRPr="00DB6B2F">
        <w:rPr>
          <w:rFonts w:asciiTheme="majorBidi" w:hAnsiTheme="majorBidi" w:cstheme="majorBidi"/>
          <w:sz w:val="24"/>
          <w:szCs w:val="24"/>
        </w:rPr>
        <w:t>5</w:t>
      </w:r>
      <w:r w:rsidR="00B31BD3" w:rsidRPr="00DB6B2F">
        <w:rPr>
          <w:rFonts w:asciiTheme="majorBidi" w:hAnsiTheme="majorBidi" w:cstheme="majorBidi"/>
          <w:sz w:val="24"/>
          <w:szCs w:val="24"/>
        </w:rPr>
        <w:t xml:space="preserve"> (Million JOD)</w:t>
      </w:r>
    </w:p>
    <w:p w:rsidR="00CA05F6" w:rsidRPr="00DB6B2F" w:rsidRDefault="00CA05F6" w:rsidP="00CA05F6">
      <w:pPr>
        <w:bidi w:val="0"/>
        <w:spacing w:before="120" w:after="120"/>
        <w:ind w:left="-720" w:right="-990"/>
        <w:jc w:val="lowKashida"/>
        <w:rPr>
          <w:rFonts w:asciiTheme="majorBidi" w:hAnsiTheme="majorBidi" w:cstheme="majorBidi"/>
          <w:lang w:bidi="ar-JO"/>
        </w:rPr>
      </w:pPr>
    </w:p>
    <w:p w:rsidR="00FE7C3C" w:rsidRPr="00DB6B2F" w:rsidRDefault="00CC5432" w:rsidP="00FE7C3C">
      <w:pPr>
        <w:bidi w:val="0"/>
        <w:spacing w:before="120" w:after="120"/>
        <w:ind w:left="-720" w:right="-990"/>
        <w:jc w:val="lowKashida"/>
        <w:rPr>
          <w:rFonts w:asciiTheme="majorBidi" w:hAnsiTheme="majorBidi" w:cstheme="majorBidi"/>
          <w:noProof/>
          <w:rtl/>
          <w:lang w:bidi="ar-JO"/>
        </w:rPr>
      </w:pPr>
      <w:r w:rsidRPr="00DB6B2F">
        <w:rPr>
          <w:noProof/>
        </w:rPr>
        <w:drawing>
          <wp:inline distT="0" distB="0" distL="0" distR="0">
            <wp:extent cx="6248400" cy="2752725"/>
            <wp:effectExtent l="0" t="0" r="0" b="9525"/>
            <wp:docPr id="6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69A2" w:rsidRPr="00DB6B2F" w:rsidRDefault="00D269A2" w:rsidP="00FE7C3C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  <w:rtl/>
          <w:lang w:bidi="ar-JO"/>
        </w:rPr>
      </w:pPr>
    </w:p>
    <w:p w:rsidR="00D3734E" w:rsidRPr="00DB6B2F" w:rsidRDefault="00D3734E" w:rsidP="00245529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  <w:r w:rsidRPr="00DB6B2F">
        <w:rPr>
          <w:rFonts w:asciiTheme="majorBidi" w:hAnsiTheme="majorBidi" w:cstheme="majorBidi"/>
          <w:b/>
          <w:bCs/>
        </w:rPr>
        <w:t xml:space="preserve">Monthly Performance </w:t>
      </w:r>
      <w:r w:rsidR="00A564A6" w:rsidRPr="00DB6B2F">
        <w:rPr>
          <w:rFonts w:asciiTheme="majorBidi" w:hAnsiTheme="majorBidi" w:cstheme="majorBidi"/>
          <w:b/>
          <w:bCs/>
        </w:rPr>
        <w:t xml:space="preserve">for </w:t>
      </w:r>
      <w:r w:rsidR="00245529" w:rsidRPr="00DB6B2F">
        <w:rPr>
          <w:rFonts w:asciiTheme="majorBidi" w:hAnsiTheme="majorBidi" w:cstheme="majorBidi"/>
          <w:b/>
          <w:bCs/>
        </w:rPr>
        <w:t>September</w:t>
      </w:r>
      <w:r w:rsidRPr="00DB6B2F">
        <w:rPr>
          <w:rFonts w:asciiTheme="majorBidi" w:hAnsiTheme="majorBidi" w:cstheme="majorBidi"/>
          <w:b/>
          <w:bCs/>
        </w:rPr>
        <w:t xml:space="preserve"> 2025</w:t>
      </w:r>
    </w:p>
    <w:p w:rsidR="00D3734E" w:rsidRPr="00DB6B2F" w:rsidRDefault="00852645" w:rsidP="001129ED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</w:rPr>
      </w:pPr>
      <w:r w:rsidRPr="00C245BD">
        <w:rPr>
          <w:rFonts w:asciiTheme="majorBidi" w:hAnsiTheme="majorBidi" w:cstheme="majorBidi"/>
          <w:color w:val="FF0000"/>
        </w:rPr>
        <w:t xml:space="preserve">The value of total </w:t>
      </w:r>
      <w:r w:rsidR="00D3734E" w:rsidRPr="00C245BD">
        <w:rPr>
          <w:rFonts w:asciiTheme="majorBidi" w:hAnsiTheme="majorBidi" w:cstheme="majorBidi"/>
          <w:color w:val="FF0000"/>
        </w:rPr>
        <w:t xml:space="preserve">exports in </w:t>
      </w:r>
      <w:r w:rsidR="00B90596" w:rsidRPr="00C245BD">
        <w:rPr>
          <w:rFonts w:asciiTheme="majorBidi" w:hAnsiTheme="majorBidi" w:cstheme="majorBidi"/>
          <w:color w:val="FF0000"/>
        </w:rPr>
        <w:t>September</w:t>
      </w:r>
      <w:r w:rsidRPr="00C245BD">
        <w:rPr>
          <w:rFonts w:asciiTheme="majorBidi" w:hAnsiTheme="majorBidi" w:cstheme="majorBidi"/>
          <w:color w:val="FF0000"/>
        </w:rPr>
        <w:t xml:space="preserve"> </w:t>
      </w:r>
      <w:r w:rsidR="00D3734E" w:rsidRPr="00C245BD">
        <w:rPr>
          <w:rFonts w:asciiTheme="majorBidi" w:hAnsiTheme="majorBidi" w:cstheme="majorBidi"/>
          <w:color w:val="FF0000"/>
        </w:rPr>
        <w:t xml:space="preserve">2025 reached </w:t>
      </w:r>
      <w:r w:rsidR="007A2EB9" w:rsidRPr="00C245BD">
        <w:rPr>
          <w:rFonts w:asciiTheme="majorBidi" w:hAnsiTheme="majorBidi" w:cstheme="majorBidi"/>
          <w:color w:val="FF0000"/>
        </w:rPr>
        <w:t>979</w:t>
      </w:r>
      <w:r w:rsidR="00D3734E" w:rsidRPr="00C245BD">
        <w:rPr>
          <w:rFonts w:asciiTheme="majorBidi" w:hAnsiTheme="majorBidi" w:cstheme="majorBidi"/>
          <w:color w:val="FF0000"/>
        </w:rPr>
        <w:t xml:space="preserve"> million </w:t>
      </w:r>
      <w:r w:rsidR="006A0A47" w:rsidRPr="00DB6B2F">
        <w:rPr>
          <w:rFonts w:asciiTheme="majorBidi" w:hAnsiTheme="majorBidi" w:cstheme="majorBidi"/>
        </w:rPr>
        <w:t>JOD</w:t>
      </w:r>
      <w:r w:rsidRPr="00DB6B2F">
        <w:rPr>
          <w:rFonts w:asciiTheme="majorBidi" w:hAnsiTheme="majorBidi" w:cstheme="majorBidi"/>
        </w:rPr>
        <w:t>, including</w:t>
      </w:r>
      <w:r w:rsidR="00D3734E" w:rsidRPr="00DB6B2F">
        <w:rPr>
          <w:rFonts w:asciiTheme="majorBidi" w:hAnsiTheme="majorBidi" w:cstheme="majorBidi"/>
        </w:rPr>
        <w:t xml:space="preserve"> </w:t>
      </w:r>
      <w:r w:rsidRPr="00DB6B2F">
        <w:rPr>
          <w:rFonts w:asciiTheme="majorBidi" w:hAnsiTheme="majorBidi" w:cstheme="majorBidi"/>
        </w:rPr>
        <w:t xml:space="preserve">the </w:t>
      </w:r>
      <w:r w:rsidR="00D3734E" w:rsidRPr="00DB6B2F">
        <w:rPr>
          <w:rFonts w:asciiTheme="majorBidi" w:hAnsiTheme="majorBidi" w:cstheme="majorBidi"/>
        </w:rPr>
        <w:t xml:space="preserve">national exports </w:t>
      </w:r>
      <w:r w:rsidR="00D72B90" w:rsidRPr="00DB6B2F">
        <w:rPr>
          <w:rFonts w:asciiTheme="majorBidi" w:hAnsiTheme="majorBidi" w:cstheme="majorBidi"/>
        </w:rPr>
        <w:t xml:space="preserve">of </w:t>
      </w:r>
      <w:r w:rsidR="007A2EB9" w:rsidRPr="00DB6B2F">
        <w:rPr>
          <w:rFonts w:asciiTheme="majorBidi" w:hAnsiTheme="majorBidi" w:cstheme="majorBidi"/>
        </w:rPr>
        <w:t>889</w:t>
      </w:r>
      <w:r w:rsidR="00D72B90" w:rsidRPr="00DB6B2F">
        <w:rPr>
          <w:rFonts w:asciiTheme="majorBidi" w:hAnsiTheme="majorBidi" w:cstheme="majorBidi"/>
        </w:rPr>
        <w:t xml:space="preserve"> million JOD and the re-exports of </w:t>
      </w:r>
      <w:r w:rsidR="007A2EB9" w:rsidRPr="00DB6B2F">
        <w:rPr>
          <w:rFonts w:asciiTheme="majorBidi" w:hAnsiTheme="majorBidi" w:cstheme="majorBidi"/>
        </w:rPr>
        <w:t>80</w:t>
      </w:r>
      <w:r w:rsidR="00D72B90" w:rsidRPr="00DB6B2F">
        <w:rPr>
          <w:rFonts w:asciiTheme="majorBidi" w:hAnsiTheme="majorBidi" w:cstheme="majorBidi"/>
        </w:rPr>
        <w:t xml:space="preserve"> million JOD, while the imports amounted to </w:t>
      </w:r>
      <w:r w:rsidR="00FE7C3C" w:rsidRPr="00DB6B2F">
        <w:rPr>
          <w:rFonts w:asciiTheme="majorBidi" w:hAnsiTheme="majorBidi" w:cstheme="majorBidi"/>
        </w:rPr>
        <w:t>1,83</w:t>
      </w:r>
      <w:r w:rsidR="001129ED" w:rsidRPr="00DB6B2F">
        <w:rPr>
          <w:rFonts w:asciiTheme="majorBidi" w:hAnsiTheme="majorBidi" w:cstheme="majorBidi"/>
        </w:rPr>
        <w:t>0</w:t>
      </w:r>
      <w:r w:rsidR="00D72B90" w:rsidRPr="00DB6B2F">
        <w:rPr>
          <w:rFonts w:asciiTheme="majorBidi" w:hAnsiTheme="majorBidi" w:cstheme="majorBidi"/>
        </w:rPr>
        <w:t xml:space="preserve"> million JOD, resulting in a trade balance deficit of (</w:t>
      </w:r>
      <w:r w:rsidR="001129ED" w:rsidRPr="00DB6B2F">
        <w:rPr>
          <w:rFonts w:asciiTheme="majorBidi" w:hAnsiTheme="majorBidi" w:cstheme="majorBidi"/>
        </w:rPr>
        <w:t>851</w:t>
      </w:r>
      <w:r w:rsidR="00D72B90" w:rsidRPr="00DB6B2F">
        <w:rPr>
          <w:rFonts w:asciiTheme="majorBidi" w:hAnsiTheme="majorBidi" w:cstheme="majorBidi"/>
        </w:rPr>
        <w:t xml:space="preserve">) million JOD during </w:t>
      </w:r>
      <w:r w:rsidR="00FE7C3C" w:rsidRPr="00DB6B2F">
        <w:rPr>
          <w:rFonts w:asciiTheme="majorBidi" w:hAnsiTheme="majorBidi" w:cstheme="majorBidi"/>
        </w:rPr>
        <w:br/>
      </w:r>
      <w:r w:rsidR="001129ED" w:rsidRPr="00DB6B2F">
        <w:rPr>
          <w:rFonts w:asciiTheme="majorBidi" w:hAnsiTheme="majorBidi" w:cstheme="majorBidi"/>
        </w:rPr>
        <w:t>September</w:t>
      </w:r>
      <w:r w:rsidR="00FE7C3C" w:rsidRPr="00DB6B2F">
        <w:rPr>
          <w:rFonts w:asciiTheme="majorBidi" w:hAnsiTheme="majorBidi" w:cstheme="majorBidi"/>
        </w:rPr>
        <w:t xml:space="preserve"> </w:t>
      </w:r>
      <w:r w:rsidR="00D3734E" w:rsidRPr="00DB6B2F">
        <w:rPr>
          <w:rFonts w:asciiTheme="majorBidi" w:hAnsiTheme="majorBidi" w:cstheme="majorBidi"/>
        </w:rPr>
        <w:t>2025</w:t>
      </w:r>
      <w:r w:rsidR="004E7DE0" w:rsidRPr="00DB6B2F">
        <w:rPr>
          <w:rFonts w:asciiTheme="majorBidi" w:hAnsiTheme="majorBidi" w:cstheme="majorBidi"/>
        </w:rPr>
        <w:t>.</w:t>
      </w:r>
    </w:p>
    <w:p w:rsidR="00CE740A" w:rsidRPr="00DB6B2F" w:rsidRDefault="00926CBB" w:rsidP="00E306ED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</w:rPr>
        <w:t xml:space="preserve">These figures indicate </w:t>
      </w:r>
      <w:r w:rsidR="00C245BD">
        <w:rPr>
          <w:rFonts w:asciiTheme="majorBidi" w:hAnsiTheme="majorBidi" w:cstheme="majorBidi"/>
        </w:rPr>
        <w:t xml:space="preserve">an </w:t>
      </w:r>
      <w:r w:rsidRPr="00DB6B2F">
        <w:rPr>
          <w:rFonts w:asciiTheme="majorBidi" w:hAnsiTheme="majorBidi" w:cstheme="majorBidi"/>
        </w:rPr>
        <w:t xml:space="preserve">increases </w:t>
      </w:r>
      <w:r w:rsidR="00D72B90" w:rsidRPr="00DB6B2F">
        <w:rPr>
          <w:rFonts w:asciiTheme="majorBidi" w:hAnsiTheme="majorBidi" w:cstheme="majorBidi"/>
        </w:rPr>
        <w:t xml:space="preserve">in </w:t>
      </w:r>
      <w:r w:rsidR="00907249" w:rsidRPr="00DB6B2F">
        <w:rPr>
          <w:rFonts w:asciiTheme="majorBidi" w:hAnsiTheme="majorBidi" w:cstheme="majorBidi"/>
        </w:rPr>
        <w:t>September</w:t>
      </w:r>
      <w:r w:rsidR="00D72B90" w:rsidRPr="00DB6B2F">
        <w:rPr>
          <w:rFonts w:asciiTheme="majorBidi" w:hAnsiTheme="majorBidi" w:cstheme="majorBidi"/>
        </w:rPr>
        <w:t xml:space="preserve"> 2025 compared to the same month in 2024 </w:t>
      </w:r>
      <w:r w:rsidRPr="00DB6B2F">
        <w:rPr>
          <w:rFonts w:asciiTheme="majorBidi" w:hAnsiTheme="majorBidi" w:cstheme="majorBidi"/>
        </w:rPr>
        <w:t>in the</w:t>
      </w:r>
      <w:r w:rsidR="00CE740A" w:rsidRPr="00DB6B2F">
        <w:rPr>
          <w:rFonts w:asciiTheme="majorBidi" w:hAnsiTheme="majorBidi" w:cstheme="majorBidi"/>
        </w:rPr>
        <w:t xml:space="preserve"> </w:t>
      </w:r>
      <w:r w:rsidRPr="00DB6B2F">
        <w:rPr>
          <w:rFonts w:asciiTheme="majorBidi" w:hAnsiTheme="majorBidi" w:cstheme="majorBidi"/>
        </w:rPr>
        <w:t xml:space="preserve">total </w:t>
      </w:r>
      <w:r w:rsidR="00CE740A" w:rsidRPr="00DB6B2F">
        <w:rPr>
          <w:rFonts w:asciiTheme="majorBidi" w:hAnsiTheme="majorBidi" w:cstheme="majorBidi"/>
        </w:rPr>
        <w:t>exports by</w:t>
      </w:r>
      <w:r w:rsidR="00D3734E" w:rsidRPr="00DB6B2F">
        <w:rPr>
          <w:rFonts w:asciiTheme="majorBidi" w:hAnsiTheme="majorBidi" w:cstheme="majorBidi"/>
        </w:rPr>
        <w:t xml:space="preserve"> </w:t>
      </w:r>
      <w:r w:rsidR="00833AB3" w:rsidRPr="00DB6B2F">
        <w:rPr>
          <w:rFonts w:asciiTheme="majorBidi" w:hAnsiTheme="majorBidi" w:cstheme="majorBidi"/>
        </w:rPr>
        <w:t>17.1</w:t>
      </w:r>
      <w:r w:rsidR="00CE740A" w:rsidRPr="00DB6B2F">
        <w:rPr>
          <w:rFonts w:asciiTheme="majorBidi" w:hAnsiTheme="majorBidi" w:cstheme="majorBidi"/>
        </w:rPr>
        <w:t xml:space="preserve">%, national exports by </w:t>
      </w:r>
      <w:r w:rsidR="00833AB3" w:rsidRPr="00DB6B2F">
        <w:rPr>
          <w:rFonts w:asciiTheme="majorBidi" w:hAnsiTheme="majorBidi" w:cstheme="majorBidi"/>
        </w:rPr>
        <w:t>16.9</w:t>
      </w:r>
      <w:r w:rsidR="00CE740A" w:rsidRPr="00DB6B2F">
        <w:rPr>
          <w:rFonts w:asciiTheme="majorBidi" w:hAnsiTheme="majorBidi" w:cstheme="majorBidi"/>
        </w:rPr>
        <w:t xml:space="preserve">%, </w:t>
      </w:r>
      <w:r w:rsidR="00D72B90" w:rsidRPr="00DB6B2F">
        <w:rPr>
          <w:rFonts w:asciiTheme="majorBidi" w:hAnsiTheme="majorBidi" w:cstheme="majorBidi"/>
        </w:rPr>
        <w:t xml:space="preserve">re-exports by </w:t>
      </w:r>
      <w:r w:rsidR="00833AB3" w:rsidRPr="00DB6B2F">
        <w:rPr>
          <w:rFonts w:asciiTheme="majorBidi" w:hAnsiTheme="majorBidi" w:cstheme="majorBidi"/>
        </w:rPr>
        <w:t>19.4</w:t>
      </w:r>
      <w:r w:rsidR="00D72B90" w:rsidRPr="00DB6B2F">
        <w:rPr>
          <w:rFonts w:asciiTheme="majorBidi" w:hAnsiTheme="majorBidi" w:cstheme="majorBidi"/>
        </w:rPr>
        <w:t xml:space="preserve">%, </w:t>
      </w:r>
      <w:r w:rsidR="00D269A2" w:rsidRPr="00DB6B2F">
        <w:rPr>
          <w:rFonts w:asciiTheme="majorBidi" w:hAnsiTheme="majorBidi" w:cstheme="majorBidi"/>
        </w:rPr>
        <w:t>and</w:t>
      </w:r>
      <w:r w:rsidRPr="00DB6B2F">
        <w:rPr>
          <w:rFonts w:asciiTheme="majorBidi" w:hAnsiTheme="majorBidi" w:cstheme="majorBidi"/>
        </w:rPr>
        <w:t xml:space="preserve"> </w:t>
      </w:r>
      <w:r w:rsidR="00CE740A" w:rsidRPr="00DB6B2F">
        <w:rPr>
          <w:rFonts w:asciiTheme="majorBidi" w:hAnsiTheme="majorBidi" w:cstheme="majorBidi"/>
        </w:rPr>
        <w:t xml:space="preserve">imports by </w:t>
      </w:r>
      <w:r w:rsidR="00833AB3" w:rsidRPr="00DB6B2F">
        <w:rPr>
          <w:rFonts w:asciiTheme="majorBidi" w:hAnsiTheme="majorBidi" w:cstheme="majorBidi"/>
        </w:rPr>
        <w:t>17.8</w:t>
      </w:r>
      <w:r w:rsidR="00FE7C3C" w:rsidRPr="00DB6B2F">
        <w:rPr>
          <w:rFonts w:asciiTheme="majorBidi" w:hAnsiTheme="majorBidi" w:cstheme="majorBidi"/>
        </w:rPr>
        <w:t>%</w:t>
      </w:r>
      <w:r w:rsidR="00D72B90" w:rsidRPr="00DB6B2F">
        <w:rPr>
          <w:rFonts w:asciiTheme="majorBidi" w:hAnsiTheme="majorBidi" w:cstheme="majorBidi"/>
        </w:rPr>
        <w:t xml:space="preserve"> </w:t>
      </w:r>
      <w:r w:rsidR="00CE740A" w:rsidRPr="00DB6B2F">
        <w:rPr>
          <w:rFonts w:asciiTheme="majorBidi" w:hAnsiTheme="majorBidi" w:cstheme="majorBidi"/>
        </w:rPr>
        <w:t>result</w:t>
      </w:r>
      <w:r w:rsidR="00D72B90" w:rsidRPr="00DB6B2F">
        <w:rPr>
          <w:rFonts w:asciiTheme="majorBidi" w:hAnsiTheme="majorBidi" w:cstheme="majorBidi"/>
        </w:rPr>
        <w:t>ing</w:t>
      </w:r>
      <w:r w:rsidR="00CE740A" w:rsidRPr="00DB6B2F">
        <w:rPr>
          <w:rFonts w:asciiTheme="majorBidi" w:hAnsiTheme="majorBidi" w:cstheme="majorBidi"/>
        </w:rPr>
        <w:t xml:space="preserve"> </w:t>
      </w:r>
      <w:r w:rsidR="00FE7C3C" w:rsidRPr="00DB6B2F">
        <w:rPr>
          <w:rFonts w:asciiTheme="majorBidi" w:hAnsiTheme="majorBidi" w:cstheme="majorBidi"/>
        </w:rPr>
        <w:t xml:space="preserve">an increase </w:t>
      </w:r>
      <w:r w:rsidR="00D72B90" w:rsidRPr="00DB6B2F">
        <w:rPr>
          <w:rFonts w:asciiTheme="majorBidi" w:hAnsiTheme="majorBidi" w:cstheme="majorBidi"/>
        </w:rPr>
        <w:t xml:space="preserve">in the </w:t>
      </w:r>
      <w:r w:rsidR="00CE740A" w:rsidRPr="00DB6B2F">
        <w:rPr>
          <w:rFonts w:asciiTheme="majorBidi" w:hAnsiTheme="majorBidi" w:cstheme="majorBidi"/>
        </w:rPr>
        <w:t xml:space="preserve">trade balance deficit </w:t>
      </w:r>
      <w:r w:rsidR="00FE7C3C" w:rsidRPr="00DB6B2F">
        <w:rPr>
          <w:rFonts w:asciiTheme="majorBidi" w:hAnsiTheme="majorBidi" w:cstheme="majorBidi"/>
        </w:rPr>
        <w:t xml:space="preserve">by </w:t>
      </w:r>
      <w:r w:rsidR="00E306ED" w:rsidRPr="00DB6B2F">
        <w:rPr>
          <w:rFonts w:asciiTheme="majorBidi" w:hAnsiTheme="majorBidi" w:cstheme="majorBidi"/>
        </w:rPr>
        <w:t>18.5</w:t>
      </w:r>
      <w:r w:rsidR="00FE7C3C" w:rsidRPr="00DB6B2F">
        <w:rPr>
          <w:rFonts w:asciiTheme="majorBidi" w:hAnsiTheme="majorBidi" w:cstheme="majorBidi"/>
        </w:rPr>
        <w:t xml:space="preserve">%. </w:t>
      </w:r>
    </w:p>
    <w:p w:rsidR="00C71639" w:rsidRPr="00DB6B2F" w:rsidRDefault="00C71639" w:rsidP="00FE7C3C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  <w:r w:rsidRPr="00DB6B2F">
        <w:rPr>
          <w:rFonts w:asciiTheme="majorBidi" w:hAnsiTheme="majorBidi" w:cstheme="majorBidi"/>
          <w:b/>
          <w:bCs/>
        </w:rPr>
        <w:t>Commodity Composition</w:t>
      </w:r>
      <w:r w:rsidR="003C3DA2" w:rsidRPr="00DB6B2F">
        <w:rPr>
          <w:rFonts w:asciiTheme="majorBidi" w:hAnsiTheme="majorBidi" w:cstheme="majorBidi"/>
          <w:b/>
          <w:bCs/>
        </w:rPr>
        <w:t xml:space="preserve"> During the First </w:t>
      </w:r>
      <w:r w:rsidR="00FE7C3C" w:rsidRPr="00DB6B2F">
        <w:rPr>
          <w:rFonts w:asciiTheme="majorBidi" w:hAnsiTheme="majorBidi" w:cstheme="majorBidi"/>
          <w:b/>
          <w:bCs/>
        </w:rPr>
        <w:t>Eight</w:t>
      </w:r>
      <w:r w:rsidR="003C3DA2" w:rsidRPr="00DB6B2F">
        <w:rPr>
          <w:rFonts w:asciiTheme="majorBidi" w:hAnsiTheme="majorBidi" w:cstheme="majorBidi"/>
          <w:b/>
          <w:bCs/>
        </w:rPr>
        <w:t xml:space="preserve"> Months of 2025</w:t>
      </w:r>
    </w:p>
    <w:p w:rsidR="00397E55" w:rsidRPr="00DB6B2F" w:rsidRDefault="00472628" w:rsidP="00C245BD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</w:rPr>
        <w:t xml:space="preserve">The increase in </w:t>
      </w:r>
      <w:r w:rsidR="00623C6D" w:rsidRPr="00DB6B2F">
        <w:rPr>
          <w:rFonts w:asciiTheme="majorBidi" w:hAnsiTheme="majorBidi" w:cstheme="majorBidi"/>
        </w:rPr>
        <w:t xml:space="preserve">the </w:t>
      </w:r>
      <w:r w:rsidRPr="00DB6B2F">
        <w:rPr>
          <w:rFonts w:asciiTheme="majorBidi" w:hAnsiTheme="majorBidi" w:cstheme="majorBidi"/>
        </w:rPr>
        <w:t xml:space="preserve">national exports </w:t>
      </w:r>
      <w:r w:rsidR="00A52BFD" w:rsidRPr="00DB6B2F">
        <w:rPr>
          <w:rFonts w:asciiTheme="majorBidi" w:hAnsiTheme="majorBidi" w:cstheme="majorBidi"/>
        </w:rPr>
        <w:t xml:space="preserve">concentrated </w:t>
      </w:r>
      <w:r w:rsidR="00DD6564" w:rsidRPr="00DB6B2F">
        <w:rPr>
          <w:rFonts w:asciiTheme="majorBidi" w:hAnsiTheme="majorBidi" w:cstheme="majorBidi"/>
        </w:rPr>
        <w:t xml:space="preserve">in the </w:t>
      </w:r>
      <w:r w:rsidRPr="00DB6B2F">
        <w:rPr>
          <w:rFonts w:asciiTheme="majorBidi" w:hAnsiTheme="majorBidi" w:cstheme="majorBidi"/>
        </w:rPr>
        <w:t>"</w:t>
      </w:r>
      <w:r w:rsidRPr="00DB6B2F">
        <w:rPr>
          <w:rFonts w:asciiTheme="majorBidi" w:hAnsiTheme="majorBidi" w:cstheme="majorBidi"/>
          <w:i/>
          <w:iCs/>
        </w:rPr>
        <w:t>Nitrogenous or Chemical Fertilizers</w:t>
      </w:r>
      <w:r w:rsidRPr="00DB6B2F">
        <w:rPr>
          <w:rFonts w:asciiTheme="majorBidi" w:hAnsiTheme="majorBidi" w:cstheme="majorBidi"/>
        </w:rPr>
        <w:t>",</w:t>
      </w:r>
      <w:r w:rsidR="00DD6564" w:rsidRPr="00DB6B2F">
        <w:rPr>
          <w:rFonts w:asciiTheme="majorBidi" w:hAnsiTheme="majorBidi" w:cstheme="majorBidi"/>
        </w:rPr>
        <w:t xml:space="preserve"> </w:t>
      </w:r>
      <w:r w:rsidR="00B94EF1" w:rsidRPr="00DB6B2F">
        <w:rPr>
          <w:rFonts w:asciiTheme="majorBidi" w:hAnsiTheme="majorBidi" w:cstheme="majorBidi"/>
        </w:rPr>
        <w:t>"</w:t>
      </w:r>
      <w:r w:rsidR="00B94EF1" w:rsidRPr="00DB6B2F">
        <w:rPr>
          <w:rFonts w:asciiTheme="majorBidi" w:hAnsiTheme="majorBidi" w:cstheme="majorBidi"/>
          <w:i/>
          <w:iCs/>
        </w:rPr>
        <w:t>Precious Ornaments and Jewelry</w:t>
      </w:r>
      <w:r w:rsidR="00B94EF1" w:rsidRPr="00DB6B2F">
        <w:rPr>
          <w:rFonts w:asciiTheme="majorBidi" w:hAnsiTheme="majorBidi" w:cstheme="majorBidi"/>
        </w:rPr>
        <w:t xml:space="preserve">", </w:t>
      </w:r>
      <w:r w:rsidR="00397E55" w:rsidRPr="00DB6B2F">
        <w:rPr>
          <w:rFonts w:asciiTheme="majorBidi" w:hAnsiTheme="majorBidi" w:cstheme="majorBidi"/>
        </w:rPr>
        <w:t>“</w:t>
      </w:r>
      <w:r w:rsidR="00397E55" w:rsidRPr="00DB6B2F">
        <w:rPr>
          <w:rFonts w:asciiTheme="majorBidi" w:hAnsiTheme="majorBidi" w:cstheme="majorBidi"/>
          <w:i/>
          <w:iCs/>
        </w:rPr>
        <w:t>Pharmaceutical Products</w:t>
      </w:r>
      <w:r w:rsidR="00397E55" w:rsidRPr="00DB6B2F">
        <w:rPr>
          <w:rFonts w:asciiTheme="majorBidi" w:hAnsiTheme="majorBidi" w:cstheme="majorBidi"/>
        </w:rPr>
        <w:t>”, "</w:t>
      </w:r>
      <w:r w:rsidR="00397E55" w:rsidRPr="00DB6B2F">
        <w:rPr>
          <w:rFonts w:asciiTheme="majorBidi" w:hAnsiTheme="majorBidi" w:cstheme="majorBidi"/>
          <w:i/>
          <w:iCs/>
        </w:rPr>
        <w:t>Crude Phosphate</w:t>
      </w:r>
      <w:r w:rsidR="00397E55" w:rsidRPr="00DB6B2F">
        <w:rPr>
          <w:rFonts w:asciiTheme="majorBidi" w:hAnsiTheme="majorBidi" w:cstheme="majorBidi"/>
        </w:rPr>
        <w:t xml:space="preserve">", and </w:t>
      </w:r>
      <w:r w:rsidR="00DD6564" w:rsidRPr="00DB6B2F">
        <w:rPr>
          <w:rFonts w:asciiTheme="majorBidi" w:hAnsiTheme="majorBidi" w:cstheme="majorBidi"/>
        </w:rPr>
        <w:t>"</w:t>
      </w:r>
      <w:r w:rsidR="00DD6564" w:rsidRPr="00DB6B2F">
        <w:rPr>
          <w:rFonts w:asciiTheme="majorBidi" w:hAnsiTheme="majorBidi" w:cstheme="majorBidi"/>
          <w:i/>
          <w:iCs/>
        </w:rPr>
        <w:t>Crude Potash</w:t>
      </w:r>
      <w:r w:rsidR="00DD6564" w:rsidRPr="00DB6B2F">
        <w:rPr>
          <w:rFonts w:asciiTheme="majorBidi" w:hAnsiTheme="majorBidi" w:cstheme="majorBidi"/>
        </w:rPr>
        <w:t>"</w:t>
      </w:r>
      <w:r w:rsidR="00397E55" w:rsidRPr="00DB6B2F">
        <w:rPr>
          <w:rFonts w:asciiTheme="majorBidi" w:hAnsiTheme="majorBidi" w:cstheme="majorBidi"/>
        </w:rPr>
        <w:t xml:space="preserve"> industries, which support</w:t>
      </w:r>
      <w:r w:rsidR="00C75CB8" w:rsidRPr="00DB6B2F">
        <w:rPr>
          <w:rFonts w:asciiTheme="majorBidi" w:hAnsiTheme="majorBidi" w:cstheme="majorBidi"/>
        </w:rPr>
        <w:t>ed</w:t>
      </w:r>
      <w:r w:rsidR="00397E55" w:rsidRPr="00DB6B2F">
        <w:rPr>
          <w:rFonts w:asciiTheme="majorBidi" w:hAnsiTheme="majorBidi" w:cstheme="majorBidi"/>
        </w:rPr>
        <w:t xml:space="preserve"> </w:t>
      </w:r>
      <w:r w:rsidR="00C75CB8" w:rsidRPr="00DB6B2F">
        <w:rPr>
          <w:rFonts w:asciiTheme="majorBidi" w:hAnsiTheme="majorBidi" w:cstheme="majorBidi"/>
        </w:rPr>
        <w:t xml:space="preserve">the </w:t>
      </w:r>
      <w:r w:rsidR="00397E55" w:rsidRPr="00DB6B2F">
        <w:rPr>
          <w:rFonts w:asciiTheme="majorBidi" w:hAnsiTheme="majorBidi" w:cstheme="majorBidi"/>
        </w:rPr>
        <w:t>national exports despite the</w:t>
      </w:r>
      <w:r w:rsidR="00FE7C3C" w:rsidRPr="00DB6B2F">
        <w:rPr>
          <w:rFonts w:asciiTheme="majorBidi" w:hAnsiTheme="majorBidi" w:cstheme="majorBidi"/>
        </w:rPr>
        <w:t xml:space="preserve"> slight</w:t>
      </w:r>
      <w:r w:rsidR="00397E55" w:rsidRPr="00DB6B2F">
        <w:rPr>
          <w:rFonts w:asciiTheme="majorBidi" w:hAnsiTheme="majorBidi" w:cstheme="majorBidi"/>
        </w:rPr>
        <w:t xml:space="preserve"> decrease in the export of "</w:t>
      </w:r>
      <w:r w:rsidR="00B94EF1" w:rsidRPr="00DB6B2F">
        <w:rPr>
          <w:rFonts w:asciiTheme="majorBidi" w:hAnsiTheme="majorBidi" w:cstheme="majorBidi"/>
          <w:i/>
          <w:iCs/>
        </w:rPr>
        <w:t>Clothes and related Accessories</w:t>
      </w:r>
      <w:r w:rsidR="00C245BD">
        <w:rPr>
          <w:rFonts w:asciiTheme="majorBidi" w:hAnsiTheme="majorBidi" w:cstheme="majorBidi"/>
          <w:i/>
          <w:iCs/>
        </w:rPr>
        <w:t xml:space="preserve"> </w:t>
      </w:r>
      <w:r w:rsidR="00C245BD" w:rsidRPr="00C245BD">
        <w:rPr>
          <w:rFonts w:asciiTheme="majorBidi" w:hAnsiTheme="majorBidi" w:cstheme="majorBidi"/>
          <w:i/>
          <w:iCs/>
        </w:rPr>
        <w:t>from Knitted Fabrics</w:t>
      </w:r>
      <w:r w:rsidR="00397E55" w:rsidRPr="00DB6B2F">
        <w:rPr>
          <w:rFonts w:asciiTheme="majorBidi" w:hAnsiTheme="majorBidi" w:cstheme="majorBidi"/>
        </w:rPr>
        <w:t xml:space="preserve">". As for imports, there were increases in the value of </w:t>
      </w:r>
      <w:r w:rsidR="00FE7C3C" w:rsidRPr="00DB6B2F">
        <w:rPr>
          <w:rFonts w:asciiTheme="majorBidi" w:hAnsiTheme="majorBidi" w:cstheme="majorBidi"/>
        </w:rPr>
        <w:t>"</w:t>
      </w:r>
      <w:r w:rsidR="00FE7C3C" w:rsidRPr="00DB6B2F">
        <w:rPr>
          <w:rFonts w:asciiTheme="majorBidi" w:hAnsiTheme="majorBidi" w:cstheme="majorBidi"/>
          <w:i/>
          <w:iCs/>
        </w:rPr>
        <w:t>Machines and Machinery Tools</w:t>
      </w:r>
      <w:r w:rsidR="00FE7C3C" w:rsidRPr="00DB6B2F">
        <w:rPr>
          <w:rFonts w:asciiTheme="majorBidi" w:hAnsiTheme="majorBidi" w:cstheme="majorBidi"/>
        </w:rPr>
        <w:t xml:space="preserve">", </w:t>
      </w:r>
      <w:r w:rsidR="00397E55" w:rsidRPr="00DB6B2F">
        <w:rPr>
          <w:rFonts w:asciiTheme="majorBidi" w:hAnsiTheme="majorBidi" w:cstheme="majorBidi"/>
        </w:rPr>
        <w:t>"</w:t>
      </w:r>
      <w:r w:rsidR="00397E55" w:rsidRPr="00DB6B2F">
        <w:rPr>
          <w:rFonts w:asciiTheme="majorBidi" w:hAnsiTheme="majorBidi" w:cstheme="majorBidi"/>
          <w:i/>
          <w:iCs/>
        </w:rPr>
        <w:t>Precious Ornaments and Jewelry</w:t>
      </w:r>
      <w:r w:rsidR="00397E55" w:rsidRPr="00DB6B2F">
        <w:rPr>
          <w:rFonts w:asciiTheme="majorBidi" w:hAnsiTheme="majorBidi" w:cstheme="majorBidi"/>
        </w:rPr>
        <w:t xml:space="preserve">", </w:t>
      </w:r>
      <w:r w:rsidR="003C3DA2" w:rsidRPr="00DB6B2F">
        <w:rPr>
          <w:rFonts w:asciiTheme="majorBidi" w:hAnsiTheme="majorBidi" w:cstheme="majorBidi"/>
        </w:rPr>
        <w:t>and</w:t>
      </w:r>
      <w:r w:rsidR="00397E55" w:rsidRPr="00DB6B2F">
        <w:rPr>
          <w:rFonts w:asciiTheme="majorBidi" w:hAnsiTheme="majorBidi" w:cstheme="majorBidi"/>
        </w:rPr>
        <w:t xml:space="preserve"> "</w:t>
      </w:r>
      <w:r w:rsidR="00C245BD">
        <w:rPr>
          <w:rFonts w:asciiTheme="majorBidi" w:hAnsiTheme="majorBidi" w:cstheme="majorBidi"/>
          <w:i/>
          <w:iCs/>
        </w:rPr>
        <w:t xml:space="preserve">Electrical Machines &amp; </w:t>
      </w:r>
      <w:r w:rsidR="00397E55" w:rsidRPr="00DB6B2F">
        <w:rPr>
          <w:rFonts w:asciiTheme="majorBidi" w:hAnsiTheme="majorBidi" w:cstheme="majorBidi"/>
          <w:i/>
          <w:iCs/>
        </w:rPr>
        <w:t>Appliances</w:t>
      </w:r>
      <w:r w:rsidR="00397E55" w:rsidRPr="00DB6B2F">
        <w:rPr>
          <w:rFonts w:asciiTheme="majorBidi" w:hAnsiTheme="majorBidi" w:cstheme="majorBidi"/>
        </w:rPr>
        <w:t xml:space="preserve"> ". However, </w:t>
      </w:r>
      <w:r w:rsidR="00397E55" w:rsidRPr="00DB6B2F">
        <w:rPr>
          <w:rFonts w:asciiTheme="majorBidi" w:hAnsiTheme="majorBidi" w:cstheme="majorBidi"/>
        </w:rPr>
        <w:lastRenderedPageBreak/>
        <w:t>the decline in imports of "</w:t>
      </w:r>
      <w:r w:rsidR="00397E55" w:rsidRPr="00DB6B2F">
        <w:rPr>
          <w:rFonts w:asciiTheme="majorBidi" w:hAnsiTheme="majorBidi" w:cstheme="majorBidi"/>
          <w:i/>
          <w:iCs/>
        </w:rPr>
        <w:t>Crude Oil and its Products</w:t>
      </w:r>
      <w:r w:rsidR="00397E55" w:rsidRPr="00DB6B2F">
        <w:rPr>
          <w:rFonts w:asciiTheme="majorBidi" w:hAnsiTheme="majorBidi" w:cstheme="majorBidi"/>
        </w:rPr>
        <w:t>"</w:t>
      </w:r>
      <w:r w:rsidR="003C3DA2" w:rsidRPr="00DB6B2F">
        <w:rPr>
          <w:rFonts w:asciiTheme="majorBidi" w:hAnsiTheme="majorBidi" w:cstheme="majorBidi"/>
        </w:rPr>
        <w:t>,</w:t>
      </w:r>
      <w:r w:rsidR="00397E55" w:rsidRPr="00DB6B2F">
        <w:rPr>
          <w:rFonts w:asciiTheme="majorBidi" w:hAnsiTheme="majorBidi" w:cstheme="majorBidi"/>
        </w:rPr>
        <w:t xml:space="preserve"> "</w:t>
      </w:r>
      <w:r w:rsidR="00397E55" w:rsidRPr="00DB6B2F">
        <w:rPr>
          <w:rFonts w:asciiTheme="majorBidi" w:hAnsiTheme="majorBidi" w:cstheme="majorBidi"/>
          <w:i/>
          <w:iCs/>
        </w:rPr>
        <w:t>Vehicles and Motorcycles</w:t>
      </w:r>
      <w:r w:rsidR="00397E55" w:rsidRPr="00DB6B2F">
        <w:rPr>
          <w:rFonts w:asciiTheme="majorBidi" w:hAnsiTheme="majorBidi" w:cstheme="majorBidi"/>
        </w:rPr>
        <w:t>"</w:t>
      </w:r>
      <w:r w:rsidR="003C3DA2" w:rsidRPr="00DB6B2F">
        <w:rPr>
          <w:rFonts w:asciiTheme="majorBidi" w:hAnsiTheme="majorBidi" w:cstheme="majorBidi"/>
        </w:rPr>
        <w:t>, and “</w:t>
      </w:r>
      <w:r w:rsidR="003C3DA2" w:rsidRPr="00DB6B2F">
        <w:rPr>
          <w:rFonts w:asciiTheme="majorBidi" w:hAnsiTheme="majorBidi" w:cstheme="majorBidi"/>
          <w:i/>
          <w:iCs/>
        </w:rPr>
        <w:t>Grains</w:t>
      </w:r>
      <w:r w:rsidR="003C3DA2" w:rsidRPr="00DB6B2F">
        <w:rPr>
          <w:rFonts w:asciiTheme="majorBidi" w:hAnsiTheme="majorBidi" w:cstheme="majorBidi"/>
        </w:rPr>
        <w:t>”</w:t>
      </w:r>
      <w:r w:rsidR="00397E55" w:rsidRPr="00DB6B2F">
        <w:rPr>
          <w:rFonts w:asciiTheme="majorBidi" w:hAnsiTheme="majorBidi" w:cstheme="majorBidi"/>
        </w:rPr>
        <w:t xml:space="preserve"> </w:t>
      </w:r>
      <w:r w:rsidR="003C3DA2" w:rsidRPr="00DB6B2F">
        <w:rPr>
          <w:rFonts w:asciiTheme="majorBidi" w:hAnsiTheme="majorBidi" w:cstheme="majorBidi"/>
        </w:rPr>
        <w:t xml:space="preserve">had significantly </w:t>
      </w:r>
      <w:r w:rsidR="00B5607C" w:rsidRPr="00DB6B2F">
        <w:rPr>
          <w:rFonts w:asciiTheme="majorBidi" w:hAnsiTheme="majorBidi" w:cstheme="majorBidi"/>
        </w:rPr>
        <w:t xml:space="preserve">contributed </w:t>
      </w:r>
      <w:r w:rsidR="003C3DA2" w:rsidRPr="00DB6B2F">
        <w:rPr>
          <w:rFonts w:asciiTheme="majorBidi" w:hAnsiTheme="majorBidi" w:cstheme="majorBidi"/>
        </w:rPr>
        <w:t>to</w:t>
      </w:r>
      <w:r w:rsidR="00B5607C" w:rsidRPr="00DB6B2F">
        <w:rPr>
          <w:rFonts w:asciiTheme="majorBidi" w:hAnsiTheme="majorBidi" w:cstheme="majorBidi"/>
        </w:rPr>
        <w:t xml:space="preserve"> </w:t>
      </w:r>
      <w:r w:rsidR="00397E55" w:rsidRPr="00DB6B2F">
        <w:rPr>
          <w:rFonts w:asciiTheme="majorBidi" w:hAnsiTheme="majorBidi" w:cstheme="majorBidi"/>
        </w:rPr>
        <w:t xml:space="preserve">limiting the increase in </w:t>
      </w:r>
      <w:r w:rsidR="003C3DA2" w:rsidRPr="00DB6B2F">
        <w:rPr>
          <w:rFonts w:asciiTheme="majorBidi" w:hAnsiTheme="majorBidi" w:cstheme="majorBidi"/>
        </w:rPr>
        <w:t xml:space="preserve">the </w:t>
      </w:r>
      <w:r w:rsidR="00397E55" w:rsidRPr="00DB6B2F">
        <w:rPr>
          <w:rFonts w:asciiTheme="majorBidi" w:hAnsiTheme="majorBidi" w:cstheme="majorBidi"/>
        </w:rPr>
        <w:t>imports</w:t>
      </w:r>
      <w:r w:rsidR="00B5607C" w:rsidRPr="00DB6B2F">
        <w:rPr>
          <w:rFonts w:asciiTheme="majorBidi" w:hAnsiTheme="majorBidi" w:cstheme="majorBidi"/>
        </w:rPr>
        <w:t xml:space="preserve"> </w:t>
      </w:r>
      <w:r w:rsidR="00397E55" w:rsidRPr="00DB6B2F">
        <w:rPr>
          <w:rFonts w:asciiTheme="majorBidi" w:hAnsiTheme="majorBidi" w:cstheme="majorBidi"/>
        </w:rPr>
        <w:t>(see Table 1).</w:t>
      </w:r>
    </w:p>
    <w:p w:rsidR="00884E20" w:rsidRPr="00DB6B2F" w:rsidRDefault="00884E20" w:rsidP="00214A15">
      <w:pPr>
        <w:keepNext/>
        <w:bidi w:val="0"/>
        <w:spacing w:before="120" w:after="120"/>
        <w:ind w:right="-990"/>
        <w:rPr>
          <w:rFonts w:asciiTheme="majorBidi" w:hAnsiTheme="majorBidi" w:cstheme="majorBidi"/>
        </w:rPr>
      </w:pPr>
    </w:p>
    <w:p w:rsidR="00884E20" w:rsidRPr="00DB6B2F" w:rsidRDefault="00A3605D" w:rsidP="00DB6B2F">
      <w:pPr>
        <w:keepNext/>
        <w:bidi w:val="0"/>
        <w:spacing w:before="120" w:after="120"/>
        <w:ind w:right="-99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Table 1: The </w:t>
      </w:r>
      <w:r w:rsidR="00DB2FF5" w:rsidRPr="00DB6B2F">
        <w:rPr>
          <w:rFonts w:asciiTheme="majorBidi" w:hAnsiTheme="majorBidi" w:cstheme="majorBidi"/>
          <w:b/>
          <w:bCs/>
          <w:sz w:val="22"/>
          <w:szCs w:val="22"/>
        </w:rPr>
        <w:t>M</w:t>
      </w:r>
      <w:r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ost </w:t>
      </w:r>
      <w:r w:rsidR="00DB2FF5" w:rsidRPr="00DB6B2F">
        <w:rPr>
          <w:rFonts w:asciiTheme="majorBidi" w:hAnsiTheme="majorBidi" w:cstheme="majorBidi"/>
          <w:b/>
          <w:bCs/>
          <w:sz w:val="22"/>
          <w:szCs w:val="22"/>
        </w:rPr>
        <w:t>I</w:t>
      </w:r>
      <w:r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mportant </w:t>
      </w:r>
      <w:r w:rsidR="00DB2FF5" w:rsidRPr="00DB6B2F">
        <w:rPr>
          <w:rFonts w:asciiTheme="majorBidi" w:hAnsiTheme="majorBidi" w:cstheme="majorBidi"/>
          <w:b/>
          <w:bCs/>
          <w:sz w:val="22"/>
          <w:szCs w:val="22"/>
        </w:rPr>
        <w:t>E</w:t>
      </w:r>
      <w:r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xported and </w:t>
      </w:r>
      <w:r w:rsidR="00DB2FF5" w:rsidRPr="00DB6B2F">
        <w:rPr>
          <w:rFonts w:asciiTheme="majorBidi" w:hAnsiTheme="majorBidi" w:cstheme="majorBidi"/>
          <w:b/>
          <w:bCs/>
          <w:sz w:val="22"/>
          <w:szCs w:val="22"/>
        </w:rPr>
        <w:t>I</w:t>
      </w:r>
      <w:r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mported </w:t>
      </w:r>
      <w:r w:rsidR="00DB2FF5" w:rsidRPr="00DB6B2F">
        <w:rPr>
          <w:rFonts w:asciiTheme="majorBidi" w:hAnsiTheme="majorBidi" w:cstheme="majorBidi"/>
          <w:b/>
          <w:bCs/>
          <w:sz w:val="22"/>
          <w:szCs w:val="22"/>
        </w:rPr>
        <w:t>C</w:t>
      </w:r>
      <w:r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ommodities </w:t>
      </w:r>
      <w:r w:rsidR="00CE014A" w:rsidRPr="00DB6B2F">
        <w:rPr>
          <w:rFonts w:asciiTheme="majorBidi" w:hAnsiTheme="majorBidi" w:cstheme="majorBidi"/>
          <w:b/>
          <w:bCs/>
          <w:sz w:val="22"/>
          <w:szCs w:val="22"/>
        </w:rPr>
        <w:t>D</w:t>
      </w:r>
      <w:r w:rsidR="00FE23EB"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uring </w:t>
      </w:r>
      <w:r w:rsidR="00CE014A" w:rsidRPr="00DB6B2F">
        <w:rPr>
          <w:rFonts w:asciiTheme="majorBidi" w:hAnsiTheme="majorBidi" w:cstheme="majorBidi"/>
          <w:b/>
          <w:bCs/>
          <w:sz w:val="22"/>
          <w:szCs w:val="22"/>
        </w:rPr>
        <w:t>the First</w:t>
      </w:r>
      <w:r w:rsidR="00B5607C"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DB6B2F" w:rsidRPr="00DB6B2F">
        <w:rPr>
          <w:rFonts w:asciiTheme="majorBidi" w:hAnsiTheme="majorBidi" w:cstheme="majorBidi"/>
          <w:b/>
          <w:bCs/>
          <w:sz w:val="22"/>
          <w:szCs w:val="22"/>
        </w:rPr>
        <w:t>Nine</w:t>
      </w:r>
      <w:r w:rsidR="003C3DA2"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 Months</w:t>
      </w:r>
      <w:r w:rsidR="00FE23EB"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 of</w:t>
      </w:r>
      <w:r w:rsidR="00F36825"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 2024 and 2025</w:t>
      </w:r>
      <w:r w:rsidR="00884E20" w:rsidRPr="00DB6B2F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DB2FF5" w:rsidRPr="00DB6B2F" w:rsidRDefault="00C32A7A" w:rsidP="00884E20">
      <w:pPr>
        <w:keepNext/>
        <w:bidi w:val="0"/>
        <w:spacing w:before="120" w:after="120"/>
        <w:ind w:right="-99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B6B2F">
        <w:rPr>
          <w:rFonts w:asciiTheme="majorBidi" w:hAnsiTheme="majorBidi" w:cstheme="majorBidi"/>
          <w:b/>
          <w:bCs/>
          <w:sz w:val="20"/>
          <w:szCs w:val="20"/>
        </w:rPr>
        <w:t>Value in (Million JOD)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810"/>
        <w:gridCol w:w="810"/>
        <w:gridCol w:w="990"/>
        <w:gridCol w:w="2430"/>
        <w:gridCol w:w="787"/>
        <w:gridCol w:w="967"/>
        <w:gridCol w:w="1164"/>
      </w:tblGrid>
      <w:tr w:rsidR="00AE4672" w:rsidRPr="007A405B" w:rsidTr="00413A1B">
        <w:trPr>
          <w:trHeight w:val="120"/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FF5" w:rsidRPr="007A405B" w:rsidRDefault="00DB2FF5" w:rsidP="00413A1B">
            <w:pPr>
              <w:tabs>
                <w:tab w:val="right" w:pos="479"/>
              </w:tabs>
              <w:ind w:left="479" w:right="78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National Exports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F5" w:rsidRPr="007A405B" w:rsidRDefault="00DB2FF5" w:rsidP="003C3DA2">
            <w:pPr>
              <w:tabs>
                <w:tab w:val="right" w:pos="479"/>
              </w:tabs>
              <w:ind w:left="479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Imports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AE4672" w:rsidRPr="007A405B" w:rsidTr="00FE7C3C">
        <w:trPr>
          <w:trHeight w:val="24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Items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bidi w:val="0"/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*2024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202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  <w:t>5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 w:bidi="ar-JO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6825" w:rsidRPr="007A405B" w:rsidRDefault="00F36825" w:rsidP="003C3DA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Relative Change 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(%)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Items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bidi w:val="0"/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*2024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2025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/>
              </w:rPr>
              <w:t>*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25" w:rsidRPr="007A405B" w:rsidRDefault="00F36825" w:rsidP="003C3DA2">
            <w:pPr>
              <w:tabs>
                <w:tab w:val="right" w:pos="206"/>
                <w:tab w:val="right" w:pos="38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Relative Change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(%)</w:t>
            </w:r>
          </w:p>
        </w:tc>
      </w:tr>
      <w:tr w:rsidR="00DB6B2F" w:rsidRPr="007A405B" w:rsidTr="00FE7C3C">
        <w:trPr>
          <w:trHeight w:val="45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C245BD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Clothes and related Accessories from Knitted Fabrics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1,237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1,235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-0.2</w:t>
            </w:r>
          </w:p>
        </w:tc>
        <w:tc>
          <w:tcPr>
            <w:tcW w:w="2430" w:type="dxa"/>
            <w:shd w:val="clear" w:color="auto" w:fill="auto"/>
          </w:tcPr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Crude Oil and its</w:t>
            </w:r>
          </w:p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Products &amp; Mineral oil</w:t>
            </w:r>
          </w:p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2,023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1,946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-3.8</w:t>
            </w:r>
          </w:p>
        </w:tc>
      </w:tr>
      <w:tr w:rsidR="00DB6B2F" w:rsidRPr="007A405B" w:rsidTr="00FE7C3C">
        <w:trPr>
          <w:trHeight w:val="45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Nitrogenous or Chemical</w:t>
            </w:r>
          </w:p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 xml:space="preserve"> Fertilizers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695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808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43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16.3</w:t>
            </w:r>
          </w:p>
        </w:tc>
        <w:tc>
          <w:tcPr>
            <w:tcW w:w="2430" w:type="dxa"/>
            <w:shd w:val="clear" w:color="auto" w:fill="auto"/>
          </w:tcPr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Machines, Machinery Tools, and</w:t>
            </w:r>
          </w:p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 xml:space="preserve">their parts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992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1,245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25.5</w:t>
            </w:r>
          </w:p>
        </w:tc>
      </w:tr>
      <w:tr w:rsidR="00DB6B2F" w:rsidRPr="007A405B" w:rsidTr="00BD6F30">
        <w:trPr>
          <w:trHeight w:val="99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 xml:space="preserve">Precious Ornaments and </w:t>
            </w:r>
          </w:p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Jewelry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43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8.3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 xml:space="preserve">Precious Ornaments and </w:t>
            </w:r>
          </w:p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Jewelry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771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1,203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56.0</w:t>
            </w:r>
          </w:p>
        </w:tc>
      </w:tr>
      <w:tr w:rsidR="00DB6B2F" w:rsidRPr="007A405B" w:rsidTr="003F5985">
        <w:trPr>
          <w:trHeight w:val="36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Pharmaceutical products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43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5.4</w:t>
            </w:r>
          </w:p>
        </w:tc>
        <w:tc>
          <w:tcPr>
            <w:tcW w:w="2430" w:type="dxa"/>
            <w:shd w:val="clear" w:color="auto" w:fill="auto"/>
          </w:tcPr>
          <w:p w:rsidR="00DB6B2F" w:rsidRPr="007A405B" w:rsidRDefault="00DB6B2F" w:rsidP="00DB6B2F">
            <w:pPr>
              <w:keepNext/>
              <w:bidi w:val="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Vehicles, Motorcycles, and</w:t>
            </w:r>
          </w:p>
          <w:p w:rsidR="00DB6B2F" w:rsidRPr="007A405B" w:rsidRDefault="00DB6B2F" w:rsidP="00DB6B2F">
            <w:pPr>
              <w:keepNext/>
              <w:bidi w:val="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their part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1,311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1,157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-11.7</w:t>
            </w:r>
          </w:p>
        </w:tc>
      </w:tr>
      <w:tr w:rsidR="00DB6B2F" w:rsidRPr="007A405B" w:rsidTr="00FE7C3C">
        <w:trPr>
          <w:trHeight w:val="18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 xml:space="preserve">Crude Phosphate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386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43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10.6</w:t>
            </w:r>
          </w:p>
        </w:tc>
        <w:tc>
          <w:tcPr>
            <w:tcW w:w="2430" w:type="dxa"/>
            <w:shd w:val="clear" w:color="auto" w:fill="auto"/>
          </w:tcPr>
          <w:p w:rsidR="00DB6B2F" w:rsidRPr="007A405B" w:rsidRDefault="00DB6B2F" w:rsidP="00DB6B2F">
            <w:pPr>
              <w:keepNext/>
              <w:bidi w:val="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Electrical Appliances and their</w:t>
            </w:r>
          </w:p>
          <w:p w:rsidR="00DB6B2F" w:rsidRPr="007A405B" w:rsidRDefault="00DB6B2F" w:rsidP="00DB6B2F">
            <w:pPr>
              <w:keepNext/>
              <w:bidi w:val="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Parts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667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732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9.7</w:t>
            </w:r>
          </w:p>
        </w:tc>
      </w:tr>
      <w:tr w:rsidR="00DB6B2F" w:rsidRPr="007A405B" w:rsidTr="00FE7C3C">
        <w:trPr>
          <w:trHeight w:val="25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Crude Potash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364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43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13.2</w:t>
            </w:r>
          </w:p>
        </w:tc>
        <w:tc>
          <w:tcPr>
            <w:tcW w:w="2430" w:type="dxa"/>
            <w:shd w:val="clear" w:color="auto" w:fill="auto"/>
          </w:tcPr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Grains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-1.3</w:t>
            </w:r>
          </w:p>
        </w:tc>
      </w:tr>
      <w:tr w:rsidR="00DB6B2F" w:rsidRPr="007A405B" w:rsidTr="00FE7C3C">
        <w:trPr>
          <w:trHeight w:val="25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Other items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2,741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3,056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  <w:t>11.5</w:t>
            </w:r>
          </w:p>
        </w:tc>
        <w:tc>
          <w:tcPr>
            <w:tcW w:w="2430" w:type="dxa"/>
            <w:shd w:val="clear" w:color="auto" w:fill="auto"/>
          </w:tcPr>
          <w:p w:rsidR="00DB6B2F" w:rsidRPr="007A405B" w:rsidRDefault="00DB6B2F" w:rsidP="00DB6B2F">
            <w:pPr>
              <w:keepNext/>
              <w:bidi w:val="0"/>
              <w:spacing w:before="120"/>
              <w:ind w:right="-990"/>
              <w:rPr>
                <w:rFonts w:asciiTheme="majorBidi" w:hAnsiTheme="majorBidi" w:cstheme="majorBidi"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</w:rPr>
              <w:t>Other items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7,712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8,174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6.0</w:t>
            </w:r>
          </w:p>
        </w:tc>
      </w:tr>
      <w:tr w:rsidR="00DB6B2F" w:rsidRPr="007A405B" w:rsidTr="00413A1B">
        <w:trPr>
          <w:trHeight w:val="11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National Exports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6,413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6,997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9.1</w:t>
            </w:r>
          </w:p>
        </w:tc>
        <w:tc>
          <w:tcPr>
            <w:tcW w:w="534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</w:p>
        </w:tc>
      </w:tr>
      <w:tr w:rsidR="00DB6B2F" w:rsidRPr="007A405B" w:rsidTr="00413A1B">
        <w:trPr>
          <w:trHeight w:val="204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Re-exports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6.5</w:t>
            </w:r>
          </w:p>
        </w:tc>
        <w:tc>
          <w:tcPr>
            <w:tcW w:w="534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9"/>
                <w:tab w:val="right" w:pos="386"/>
              </w:tabs>
              <w:ind w:right="-36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B6B2F" w:rsidRPr="007A405B" w:rsidTr="00FE7C3C">
        <w:trPr>
          <w:trHeight w:val="19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B6B2F" w:rsidRPr="007A405B" w:rsidRDefault="00DB6B2F" w:rsidP="00DB6B2F">
            <w:pPr>
              <w:keepNext/>
              <w:tabs>
                <w:tab w:val="left" w:pos="1965"/>
              </w:tabs>
              <w:bidi w:val="0"/>
              <w:spacing w:before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Exports (1)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7,064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7,690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8.9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bidi w:val="0"/>
              <w:ind w:right="-36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Imports (2)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14,012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14,986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7.0</w:t>
            </w:r>
          </w:p>
        </w:tc>
      </w:tr>
      <w:tr w:rsidR="00DB6B2F" w:rsidRPr="007A405B" w:rsidTr="00FE7C3C">
        <w:trPr>
          <w:trHeight w:val="198"/>
          <w:jc w:val="center"/>
        </w:trPr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Trade Deficit (1) – (2)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-6,948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-7,296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5.0</w:t>
            </w:r>
          </w:p>
        </w:tc>
      </w:tr>
    </w:tbl>
    <w:p w:rsidR="008403AB" w:rsidRPr="00DB6B2F" w:rsidRDefault="009B7DA8" w:rsidP="00DB6B2F">
      <w:pPr>
        <w:keepNext/>
        <w:bidi w:val="0"/>
        <w:spacing w:before="120" w:after="120" w:line="276" w:lineRule="auto"/>
        <w:ind w:left="-720" w:right="-990"/>
        <w:rPr>
          <w:rFonts w:asciiTheme="majorBidi" w:hAnsiTheme="majorBidi" w:cstheme="majorBidi"/>
          <w:sz w:val="20"/>
          <w:szCs w:val="20"/>
        </w:rPr>
      </w:pPr>
      <w:r w:rsidRPr="00DB6B2F">
        <w:rPr>
          <w:rFonts w:asciiTheme="majorBidi" w:hAnsiTheme="majorBidi" w:cstheme="majorBidi"/>
          <w:sz w:val="20"/>
          <w:szCs w:val="20"/>
        </w:rPr>
        <w:t xml:space="preserve">Source: Department of Statistics / External Trade </w:t>
      </w:r>
      <w:r w:rsidR="00413A1B" w:rsidRPr="00DB6B2F">
        <w:rPr>
          <w:rFonts w:asciiTheme="majorBidi" w:hAnsiTheme="majorBidi" w:cstheme="majorBidi"/>
          <w:sz w:val="20"/>
          <w:szCs w:val="20"/>
        </w:rPr>
        <w:t>Division</w:t>
      </w:r>
      <w:r w:rsidRPr="00DB6B2F">
        <w:rPr>
          <w:rFonts w:asciiTheme="majorBidi" w:hAnsiTheme="majorBidi" w:cstheme="majorBidi"/>
          <w:sz w:val="20"/>
          <w:szCs w:val="20"/>
        </w:rPr>
        <w:t xml:space="preserve">/ External Trade Report of </w:t>
      </w:r>
      <w:r w:rsidR="00DB6B2F" w:rsidRPr="00DB6B2F">
        <w:rPr>
          <w:rFonts w:asciiTheme="majorBidi" w:hAnsiTheme="majorBidi" w:cstheme="majorBidi"/>
          <w:sz w:val="20"/>
          <w:szCs w:val="20"/>
        </w:rPr>
        <w:t>September</w:t>
      </w:r>
      <w:r w:rsidRPr="00DB6B2F">
        <w:rPr>
          <w:rFonts w:asciiTheme="majorBidi" w:hAnsiTheme="majorBidi" w:cstheme="majorBidi"/>
          <w:sz w:val="20"/>
          <w:szCs w:val="20"/>
        </w:rPr>
        <w:t xml:space="preserve"> 2025 </w:t>
      </w:r>
    </w:p>
    <w:p w:rsidR="009B7DA8" w:rsidRPr="00DB6B2F" w:rsidRDefault="009B7DA8" w:rsidP="00413A1B">
      <w:pPr>
        <w:keepNext/>
        <w:bidi w:val="0"/>
        <w:spacing w:before="120" w:after="120" w:line="276" w:lineRule="auto"/>
        <w:ind w:left="-720" w:right="-990"/>
        <w:rPr>
          <w:rFonts w:asciiTheme="majorBidi" w:hAnsiTheme="majorBidi" w:cstheme="majorBidi"/>
          <w:sz w:val="20"/>
          <w:szCs w:val="20"/>
        </w:rPr>
      </w:pPr>
      <w:r w:rsidRPr="00DB6B2F">
        <w:rPr>
          <w:rFonts w:asciiTheme="majorBidi" w:hAnsiTheme="majorBidi" w:cstheme="majorBidi"/>
          <w:sz w:val="20"/>
          <w:szCs w:val="20"/>
        </w:rPr>
        <w:t xml:space="preserve"> *Primary numbers</w:t>
      </w:r>
    </w:p>
    <w:p w:rsidR="00957E19" w:rsidRPr="00DB6B2F" w:rsidRDefault="00517EC6" w:rsidP="00CA3271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  <w:b/>
          <w:bCs/>
        </w:rPr>
      </w:pPr>
      <w:r w:rsidRPr="00DB6B2F">
        <w:rPr>
          <w:rStyle w:val="Strong"/>
          <w:rFonts w:asciiTheme="majorBidi" w:hAnsiTheme="majorBidi" w:cstheme="majorBidi"/>
        </w:rPr>
        <w:t>Trade Partners</w:t>
      </w:r>
      <w:r w:rsidR="004B0EC5" w:rsidRPr="00DB6B2F">
        <w:rPr>
          <w:rStyle w:val="Strong"/>
          <w:rFonts w:asciiTheme="majorBidi" w:hAnsiTheme="majorBidi" w:cstheme="majorBidi"/>
        </w:rPr>
        <w:t xml:space="preserve"> </w:t>
      </w:r>
      <w:r w:rsidR="004B0EC5" w:rsidRPr="00DB6B2F">
        <w:rPr>
          <w:rFonts w:asciiTheme="majorBidi" w:hAnsiTheme="majorBidi" w:cstheme="majorBidi"/>
          <w:b/>
          <w:bCs/>
        </w:rPr>
        <w:t xml:space="preserve">During the First </w:t>
      </w:r>
      <w:r w:rsidR="00CA3271" w:rsidRPr="00DB6B2F">
        <w:rPr>
          <w:rFonts w:asciiTheme="majorBidi" w:hAnsiTheme="majorBidi" w:cstheme="majorBidi"/>
          <w:b/>
          <w:bCs/>
        </w:rPr>
        <w:t>Eight</w:t>
      </w:r>
      <w:r w:rsidR="004B0EC5" w:rsidRPr="00DB6B2F">
        <w:rPr>
          <w:rFonts w:asciiTheme="majorBidi" w:hAnsiTheme="majorBidi" w:cstheme="majorBidi"/>
          <w:b/>
          <w:bCs/>
        </w:rPr>
        <w:t xml:space="preserve"> Months of 2025</w:t>
      </w:r>
    </w:p>
    <w:p w:rsidR="0038798E" w:rsidRPr="00DB6B2F" w:rsidRDefault="00A5294B" w:rsidP="00DB6B2F">
      <w:pPr>
        <w:bidi w:val="0"/>
        <w:spacing w:before="120" w:after="120" w:line="360" w:lineRule="auto"/>
        <w:ind w:left="-720" w:right="-990"/>
        <w:jc w:val="both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</w:rPr>
        <w:t xml:space="preserve">National exports </w:t>
      </w:r>
      <w:r w:rsidR="007C5022" w:rsidRPr="00DB6B2F">
        <w:rPr>
          <w:rFonts w:asciiTheme="majorBidi" w:hAnsiTheme="majorBidi" w:cstheme="majorBidi"/>
        </w:rPr>
        <w:t xml:space="preserve">have increased </w:t>
      </w:r>
      <w:r w:rsidRPr="00DB6B2F">
        <w:rPr>
          <w:rFonts w:asciiTheme="majorBidi" w:hAnsiTheme="majorBidi" w:cstheme="majorBidi"/>
        </w:rPr>
        <w:t xml:space="preserve">to </w:t>
      </w:r>
      <w:r w:rsidR="00CA3271" w:rsidRPr="00DB6B2F">
        <w:rPr>
          <w:rFonts w:asciiTheme="majorBidi" w:hAnsiTheme="majorBidi" w:cstheme="majorBidi"/>
        </w:rPr>
        <w:t xml:space="preserve">countries of Greater Arab Free Trade Area (GAFTA), </w:t>
      </w:r>
      <w:r w:rsidR="00DB6B2F" w:rsidRPr="00DB6B2F">
        <w:rPr>
          <w:rFonts w:asciiTheme="majorBidi" w:hAnsiTheme="majorBidi" w:cstheme="majorBidi"/>
        </w:rPr>
        <w:t>including</w:t>
      </w:r>
      <w:r w:rsidR="00CA3271" w:rsidRPr="00DB6B2F">
        <w:rPr>
          <w:rFonts w:asciiTheme="majorBidi" w:hAnsiTheme="majorBidi" w:cstheme="majorBidi"/>
        </w:rPr>
        <w:t xml:space="preserve"> Syria to which exports doubled by 3</w:t>
      </w:r>
      <w:r w:rsidR="00DB6B2F" w:rsidRPr="00DB6B2F">
        <w:rPr>
          <w:rFonts w:asciiTheme="majorBidi" w:hAnsiTheme="majorBidi" w:cstheme="majorBidi"/>
        </w:rPr>
        <w:t>83.3</w:t>
      </w:r>
      <w:r w:rsidR="00CA3271" w:rsidRPr="00DB6B2F">
        <w:rPr>
          <w:rFonts w:asciiTheme="majorBidi" w:hAnsiTheme="majorBidi" w:cstheme="majorBidi"/>
        </w:rPr>
        <w:t xml:space="preserve">% during the period. Additionally, exports have expanded to non-Arab Asian </w:t>
      </w:r>
      <w:r w:rsidR="00F931BD" w:rsidRPr="00DB6B2F">
        <w:rPr>
          <w:rFonts w:asciiTheme="majorBidi" w:hAnsiTheme="majorBidi" w:cstheme="majorBidi"/>
        </w:rPr>
        <w:t>C</w:t>
      </w:r>
      <w:r w:rsidR="00CA3271" w:rsidRPr="00DB6B2F">
        <w:rPr>
          <w:rFonts w:asciiTheme="majorBidi" w:hAnsiTheme="majorBidi" w:cstheme="majorBidi"/>
        </w:rPr>
        <w:t>ountries, such as India, and to European Union countries,</w:t>
      </w:r>
      <w:r w:rsidR="007C5022" w:rsidRPr="00DB6B2F">
        <w:rPr>
          <w:rFonts w:asciiTheme="majorBidi" w:hAnsiTheme="majorBidi" w:cstheme="majorBidi"/>
        </w:rPr>
        <w:t xml:space="preserve"> including Italy. Meanwhile, </w:t>
      </w:r>
      <w:r w:rsidR="00CA3271" w:rsidRPr="00DB6B2F">
        <w:rPr>
          <w:rFonts w:asciiTheme="majorBidi" w:hAnsiTheme="majorBidi" w:cstheme="majorBidi"/>
        </w:rPr>
        <w:t>national exports decreased</w:t>
      </w:r>
      <w:r w:rsidR="00F931BD" w:rsidRPr="00DB6B2F">
        <w:rPr>
          <w:rFonts w:asciiTheme="majorBidi" w:hAnsiTheme="majorBidi" w:cstheme="majorBidi"/>
        </w:rPr>
        <w:t xml:space="preserve"> slightly</w:t>
      </w:r>
      <w:r w:rsidR="00CA3271" w:rsidRPr="00DB6B2F">
        <w:rPr>
          <w:rFonts w:asciiTheme="majorBidi" w:hAnsiTheme="majorBidi" w:cstheme="majorBidi"/>
        </w:rPr>
        <w:t xml:space="preserve"> to North American Free Trade Agreement (NAFTA) countries</w:t>
      </w:r>
      <w:r w:rsidR="00F931BD" w:rsidRPr="00DB6B2F">
        <w:rPr>
          <w:rFonts w:asciiTheme="majorBidi" w:hAnsiTheme="majorBidi" w:cstheme="majorBidi"/>
        </w:rPr>
        <w:t>,</w:t>
      </w:r>
      <w:r w:rsidR="007C5022" w:rsidRPr="00DB6B2F">
        <w:rPr>
          <w:rFonts w:asciiTheme="majorBidi" w:hAnsiTheme="majorBidi" w:cstheme="majorBidi"/>
        </w:rPr>
        <w:t xml:space="preserve"> including the Uni</w:t>
      </w:r>
      <w:r w:rsidR="00CD78B2" w:rsidRPr="00DB6B2F">
        <w:rPr>
          <w:rFonts w:asciiTheme="majorBidi" w:hAnsiTheme="majorBidi" w:cstheme="majorBidi"/>
        </w:rPr>
        <w:t>ted States</w:t>
      </w:r>
      <w:r w:rsidR="00CA3271" w:rsidRPr="00DB6B2F">
        <w:rPr>
          <w:rFonts w:asciiTheme="majorBidi" w:hAnsiTheme="majorBidi" w:cstheme="majorBidi"/>
        </w:rPr>
        <w:t xml:space="preserve">. </w:t>
      </w:r>
      <w:r w:rsidR="0038798E" w:rsidRPr="00DB6B2F">
        <w:rPr>
          <w:rFonts w:asciiTheme="majorBidi" w:hAnsiTheme="majorBidi" w:cstheme="majorBidi"/>
        </w:rPr>
        <w:t xml:space="preserve">As for imports, there </w:t>
      </w:r>
      <w:r w:rsidR="00F931BD" w:rsidRPr="00DB6B2F">
        <w:rPr>
          <w:rFonts w:asciiTheme="majorBidi" w:hAnsiTheme="majorBidi" w:cstheme="majorBidi"/>
        </w:rPr>
        <w:t xml:space="preserve">were </w:t>
      </w:r>
      <w:r w:rsidR="0038798E" w:rsidRPr="00DB6B2F">
        <w:rPr>
          <w:rFonts w:asciiTheme="majorBidi" w:hAnsiTheme="majorBidi" w:cstheme="majorBidi"/>
        </w:rPr>
        <w:t>increase</w:t>
      </w:r>
      <w:r w:rsidR="00F931BD" w:rsidRPr="00DB6B2F">
        <w:rPr>
          <w:rFonts w:asciiTheme="majorBidi" w:hAnsiTheme="majorBidi" w:cstheme="majorBidi"/>
        </w:rPr>
        <w:t>s</w:t>
      </w:r>
      <w:r w:rsidR="0038798E" w:rsidRPr="00DB6B2F">
        <w:rPr>
          <w:rFonts w:asciiTheme="majorBidi" w:hAnsiTheme="majorBidi" w:cstheme="majorBidi"/>
        </w:rPr>
        <w:t xml:space="preserve"> from GAFTA countries, </w:t>
      </w:r>
      <w:r w:rsidR="00CA3271" w:rsidRPr="00DB6B2F">
        <w:rPr>
          <w:rFonts w:asciiTheme="majorBidi" w:hAnsiTheme="majorBidi" w:cstheme="majorBidi"/>
        </w:rPr>
        <w:t xml:space="preserve">including Saudi Arabia, NAFTA countries, </w:t>
      </w:r>
      <w:r w:rsidR="00F931BD" w:rsidRPr="00DB6B2F">
        <w:rPr>
          <w:rFonts w:asciiTheme="majorBidi" w:hAnsiTheme="majorBidi" w:cstheme="majorBidi"/>
        </w:rPr>
        <w:t>including</w:t>
      </w:r>
      <w:r w:rsidR="00CA3271" w:rsidRPr="00DB6B2F">
        <w:rPr>
          <w:rFonts w:asciiTheme="majorBidi" w:hAnsiTheme="majorBidi" w:cstheme="majorBidi"/>
        </w:rPr>
        <w:t xml:space="preserve"> the USA, </w:t>
      </w:r>
      <w:r w:rsidR="00F931BD" w:rsidRPr="00DB6B2F">
        <w:rPr>
          <w:rFonts w:asciiTheme="majorBidi" w:hAnsiTheme="majorBidi" w:cstheme="majorBidi"/>
        </w:rPr>
        <w:t xml:space="preserve">Non-Arab Asian countries, such as China, and </w:t>
      </w:r>
      <w:r w:rsidR="00CA3271" w:rsidRPr="00DB6B2F">
        <w:rPr>
          <w:rFonts w:asciiTheme="majorBidi" w:hAnsiTheme="majorBidi" w:cstheme="majorBidi"/>
        </w:rPr>
        <w:t>E</w:t>
      </w:r>
      <w:r w:rsidR="00F931BD" w:rsidRPr="00DB6B2F">
        <w:rPr>
          <w:rFonts w:asciiTheme="majorBidi" w:hAnsiTheme="majorBidi" w:cstheme="majorBidi"/>
        </w:rPr>
        <w:t xml:space="preserve">U </w:t>
      </w:r>
      <w:r w:rsidR="00CA3271" w:rsidRPr="00DB6B2F">
        <w:rPr>
          <w:rFonts w:asciiTheme="majorBidi" w:hAnsiTheme="majorBidi" w:cstheme="majorBidi"/>
        </w:rPr>
        <w:t>countries, including</w:t>
      </w:r>
      <w:r w:rsidR="0038798E" w:rsidRPr="00DB6B2F">
        <w:rPr>
          <w:rFonts w:asciiTheme="majorBidi" w:hAnsiTheme="majorBidi" w:cstheme="majorBidi"/>
        </w:rPr>
        <w:t xml:space="preserve"> </w:t>
      </w:r>
      <w:r w:rsidR="00F931BD" w:rsidRPr="00DB6B2F">
        <w:rPr>
          <w:rFonts w:asciiTheme="majorBidi" w:hAnsiTheme="majorBidi" w:cstheme="majorBidi"/>
        </w:rPr>
        <w:t>Germany</w:t>
      </w:r>
      <w:r w:rsidR="0038798E" w:rsidRPr="00DB6B2F">
        <w:rPr>
          <w:rFonts w:asciiTheme="majorBidi" w:hAnsiTheme="majorBidi" w:cstheme="majorBidi"/>
        </w:rPr>
        <w:t xml:space="preserve"> (see Table 2).</w:t>
      </w:r>
    </w:p>
    <w:p w:rsidR="009561C1" w:rsidRPr="00DB6B2F" w:rsidRDefault="009561C1" w:rsidP="00DB6B2F">
      <w:pPr>
        <w:bidi w:val="0"/>
        <w:spacing w:before="120" w:after="120" w:line="360" w:lineRule="auto"/>
        <w:ind w:left="-720" w:right="-990"/>
        <w:jc w:val="center"/>
        <w:rPr>
          <w:rFonts w:asciiTheme="majorBidi" w:hAnsiTheme="majorBidi" w:cstheme="majorBidi"/>
          <w:b/>
          <w:bCs/>
        </w:rPr>
      </w:pPr>
      <w:r w:rsidRPr="00DB6B2F">
        <w:rPr>
          <w:rFonts w:asciiTheme="majorBidi" w:hAnsiTheme="majorBidi" w:cstheme="majorBidi"/>
          <w:b/>
          <w:bCs/>
        </w:rPr>
        <w:lastRenderedPageBreak/>
        <w:t xml:space="preserve">Table 2: Main </w:t>
      </w:r>
      <w:r w:rsidR="0038798E" w:rsidRPr="00DB6B2F">
        <w:rPr>
          <w:rFonts w:asciiTheme="majorBidi" w:hAnsiTheme="majorBidi" w:cstheme="majorBidi"/>
          <w:b/>
          <w:bCs/>
        </w:rPr>
        <w:t>T</w:t>
      </w:r>
      <w:r w:rsidRPr="00DB6B2F">
        <w:rPr>
          <w:rFonts w:asciiTheme="majorBidi" w:hAnsiTheme="majorBidi" w:cstheme="majorBidi"/>
          <w:b/>
          <w:bCs/>
        </w:rPr>
        <w:t xml:space="preserve">rade </w:t>
      </w:r>
      <w:r w:rsidR="0038798E" w:rsidRPr="00DB6B2F">
        <w:rPr>
          <w:rFonts w:asciiTheme="majorBidi" w:hAnsiTheme="majorBidi" w:cstheme="majorBidi"/>
          <w:b/>
          <w:bCs/>
        </w:rPr>
        <w:t>P</w:t>
      </w:r>
      <w:r w:rsidRPr="00DB6B2F">
        <w:rPr>
          <w:rFonts w:asciiTheme="majorBidi" w:hAnsiTheme="majorBidi" w:cstheme="majorBidi"/>
          <w:b/>
          <w:bCs/>
        </w:rPr>
        <w:t xml:space="preserve">artners and </w:t>
      </w:r>
      <w:r w:rsidR="0038798E" w:rsidRPr="00DB6B2F">
        <w:rPr>
          <w:rFonts w:asciiTheme="majorBidi" w:hAnsiTheme="majorBidi" w:cstheme="majorBidi"/>
          <w:b/>
          <w:bCs/>
        </w:rPr>
        <w:t>E</w:t>
      </w:r>
      <w:r w:rsidRPr="00DB6B2F">
        <w:rPr>
          <w:rFonts w:asciiTheme="majorBidi" w:hAnsiTheme="majorBidi" w:cstheme="majorBidi"/>
          <w:b/>
          <w:bCs/>
        </w:rPr>
        <w:t xml:space="preserve">conomic </w:t>
      </w:r>
      <w:r w:rsidR="0038798E" w:rsidRPr="00DB6B2F">
        <w:rPr>
          <w:rFonts w:asciiTheme="majorBidi" w:hAnsiTheme="majorBidi" w:cstheme="majorBidi"/>
          <w:b/>
          <w:bCs/>
        </w:rPr>
        <w:t>Blocs</w:t>
      </w:r>
      <w:r w:rsidRPr="00DB6B2F">
        <w:rPr>
          <w:rFonts w:asciiTheme="majorBidi" w:hAnsiTheme="majorBidi" w:cstheme="majorBidi"/>
          <w:b/>
          <w:bCs/>
        </w:rPr>
        <w:t xml:space="preserve"> </w:t>
      </w:r>
      <w:r w:rsidR="0038798E" w:rsidRPr="00DB6B2F">
        <w:rPr>
          <w:rFonts w:asciiTheme="majorBidi" w:hAnsiTheme="majorBidi" w:cstheme="majorBidi"/>
          <w:b/>
          <w:bCs/>
        </w:rPr>
        <w:t>D</w:t>
      </w:r>
      <w:r w:rsidR="00517EC6" w:rsidRPr="00DB6B2F">
        <w:rPr>
          <w:rFonts w:asciiTheme="majorBidi" w:hAnsiTheme="majorBidi" w:cstheme="majorBidi"/>
          <w:b/>
          <w:bCs/>
        </w:rPr>
        <w:t xml:space="preserve">uring </w:t>
      </w:r>
      <w:r w:rsidR="00620625" w:rsidRPr="00DB6B2F">
        <w:rPr>
          <w:rFonts w:asciiTheme="majorBidi" w:hAnsiTheme="majorBidi" w:cstheme="majorBidi"/>
          <w:b/>
          <w:bCs/>
        </w:rPr>
        <w:t xml:space="preserve">the </w:t>
      </w:r>
      <w:r w:rsidR="0038798E" w:rsidRPr="00DB6B2F">
        <w:rPr>
          <w:rFonts w:asciiTheme="majorBidi" w:hAnsiTheme="majorBidi" w:cstheme="majorBidi"/>
          <w:b/>
          <w:bCs/>
        </w:rPr>
        <w:t>F</w:t>
      </w:r>
      <w:r w:rsidR="00620625" w:rsidRPr="00DB6B2F">
        <w:rPr>
          <w:rFonts w:asciiTheme="majorBidi" w:hAnsiTheme="majorBidi" w:cstheme="majorBidi"/>
          <w:b/>
          <w:bCs/>
        </w:rPr>
        <w:t xml:space="preserve">irst </w:t>
      </w:r>
      <w:r w:rsidR="00DB6B2F" w:rsidRPr="00DB6B2F">
        <w:rPr>
          <w:rFonts w:asciiTheme="majorBidi" w:hAnsiTheme="majorBidi" w:cstheme="majorBidi"/>
          <w:b/>
          <w:bCs/>
        </w:rPr>
        <w:t>Nine</w:t>
      </w:r>
      <w:r w:rsidR="0038798E" w:rsidRPr="00DB6B2F">
        <w:rPr>
          <w:rFonts w:asciiTheme="majorBidi" w:hAnsiTheme="majorBidi" w:cstheme="majorBidi"/>
          <w:b/>
          <w:bCs/>
        </w:rPr>
        <w:t xml:space="preserve"> Months</w:t>
      </w:r>
      <w:r w:rsidR="00620625" w:rsidRPr="00DB6B2F">
        <w:rPr>
          <w:rFonts w:asciiTheme="majorBidi" w:hAnsiTheme="majorBidi" w:cstheme="majorBidi"/>
          <w:b/>
          <w:bCs/>
        </w:rPr>
        <w:t xml:space="preserve"> of </w:t>
      </w:r>
      <w:r w:rsidR="00EC0569" w:rsidRPr="00DB6B2F">
        <w:rPr>
          <w:rFonts w:asciiTheme="majorBidi" w:hAnsiTheme="majorBidi" w:cstheme="majorBidi"/>
          <w:b/>
          <w:bCs/>
        </w:rPr>
        <w:t>2024 and 2025</w:t>
      </w:r>
    </w:p>
    <w:p w:rsidR="009561C1" w:rsidRPr="00DB6B2F" w:rsidRDefault="009561C1" w:rsidP="00AE4672">
      <w:pPr>
        <w:bidi w:val="0"/>
        <w:rPr>
          <w:rFonts w:asciiTheme="majorBidi" w:hAnsiTheme="majorBidi" w:cstheme="majorBidi"/>
        </w:rPr>
      </w:pPr>
      <w:r w:rsidRPr="00DB6B2F">
        <w:rPr>
          <w:rFonts w:asciiTheme="majorBidi" w:hAnsiTheme="majorBidi" w:cstheme="majorBidi"/>
          <w:b/>
          <w:bCs/>
          <w:sz w:val="18"/>
          <w:szCs w:val="18"/>
        </w:rPr>
        <w:t>Value in (Million</w:t>
      </w:r>
      <w:r w:rsidR="00AE4672" w:rsidRPr="00DB6B2F">
        <w:rPr>
          <w:rFonts w:asciiTheme="majorBidi" w:hAnsiTheme="majorBidi" w:cstheme="majorBidi"/>
          <w:b/>
          <w:bCs/>
          <w:sz w:val="18"/>
          <w:szCs w:val="18"/>
        </w:rPr>
        <w:t xml:space="preserve"> JOD) </w:t>
      </w:r>
    </w:p>
    <w:tbl>
      <w:tblPr>
        <w:tblpPr w:leftFromText="180" w:rightFromText="180" w:vertAnchor="text" w:horzAnchor="margin" w:tblpXSpec="center" w:tblpY="68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742"/>
        <w:gridCol w:w="669"/>
        <w:gridCol w:w="931"/>
        <w:gridCol w:w="2835"/>
        <w:gridCol w:w="746"/>
        <w:gridCol w:w="746"/>
        <w:gridCol w:w="921"/>
      </w:tblGrid>
      <w:tr w:rsidR="00AE4672" w:rsidRPr="007A405B" w:rsidTr="007A405B">
        <w:trPr>
          <w:trHeight w:val="63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1C1" w:rsidRPr="007A405B" w:rsidRDefault="009561C1" w:rsidP="009561C1">
            <w:pPr>
              <w:tabs>
                <w:tab w:val="right" w:pos="479"/>
              </w:tabs>
              <w:ind w:left="576" w:right="-28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National Exports to: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C1" w:rsidRPr="007A405B" w:rsidRDefault="009561C1" w:rsidP="009561C1">
            <w:pPr>
              <w:tabs>
                <w:tab w:val="right" w:pos="479"/>
              </w:tabs>
              <w:ind w:left="479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Imports from: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AE4672" w:rsidRPr="007A405B" w:rsidTr="007A405B">
        <w:trPr>
          <w:trHeight w:val="584"/>
        </w:trPr>
        <w:tc>
          <w:tcPr>
            <w:tcW w:w="2605" w:type="dxa"/>
            <w:shd w:val="clear" w:color="auto" w:fill="auto"/>
            <w:vAlign w:val="center"/>
          </w:tcPr>
          <w:p w:rsidR="0038798E" w:rsidRPr="007A405B" w:rsidRDefault="0038798E" w:rsidP="0038798E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Economic Blocs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98E" w:rsidRPr="007A405B" w:rsidRDefault="0038798E" w:rsidP="0038798E">
            <w:pPr>
              <w:tabs>
                <w:tab w:val="right" w:pos="206"/>
                <w:tab w:val="right" w:pos="386"/>
              </w:tabs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  <w:t>2024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98E" w:rsidRPr="007A405B" w:rsidRDefault="0038798E" w:rsidP="0038798E">
            <w:pPr>
              <w:tabs>
                <w:tab w:val="right" w:pos="206"/>
                <w:tab w:val="right" w:pos="386"/>
              </w:tabs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  <w:t>2025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 w:bidi="ar-JO"/>
              </w:rPr>
              <w:t>*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98E" w:rsidRPr="007A405B" w:rsidRDefault="0038798E" w:rsidP="0038798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Relative Change 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(%)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798E" w:rsidRPr="007A405B" w:rsidRDefault="0038798E" w:rsidP="0038798E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Economic Blocs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98E" w:rsidRPr="007A405B" w:rsidRDefault="0038798E" w:rsidP="0038798E">
            <w:pPr>
              <w:tabs>
                <w:tab w:val="right" w:pos="206"/>
                <w:tab w:val="right" w:pos="386"/>
              </w:tabs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  <w:t>2024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/>
              </w:rPr>
              <w:t>*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98E" w:rsidRPr="007A405B" w:rsidRDefault="0038798E" w:rsidP="0038798E">
            <w:pPr>
              <w:tabs>
                <w:tab w:val="right" w:pos="206"/>
                <w:tab w:val="right" w:pos="386"/>
              </w:tabs>
              <w:ind w:left="-397" w:right="-39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ar-SA" w:bidi="ar-JO"/>
              </w:rPr>
              <w:t>2025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cs/>
                <w:lang w:eastAsia="ar-SA" w:bidi="ar-JO"/>
              </w:rPr>
              <w:t>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98E" w:rsidRPr="007A405B" w:rsidRDefault="0038798E" w:rsidP="0038798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Relative Change </w:t>
            </w: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(%)</w:t>
            </w:r>
          </w:p>
        </w:tc>
      </w:tr>
      <w:tr w:rsidR="00DB6B2F" w:rsidRPr="007A405B" w:rsidTr="007A405B">
        <w:trPr>
          <w:trHeight w:val="973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Greater Arab Free Trade Area (GAFTA) Countries of which: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2,638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2,887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9.4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Greater Arab Free Trade Area (GAFTA) Countries of which: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3,741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3,987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6.6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Saudi Arabia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851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955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12.2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Saudi Arabia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2,170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2,216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2.1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Syria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36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  <w:t>383.3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Syria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71.4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Iraq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660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679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2.9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Iraq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144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-25.0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North American Free Trade</w:t>
            </w:r>
          </w:p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Agreement Countries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1,774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1,724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-2.8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North American Free Trade Agreement countries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1,014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1,326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30.8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the USA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1,712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1,660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43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-3.0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the USA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945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1,252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32.5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Non-Arab Asian Countries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1,241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1,513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21.9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Non-Arab Asian countries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5,337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5,439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1.9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India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675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859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27.3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China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2,663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2,881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8.2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European Union Countries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313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436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39.3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European Union Countries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2,143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2,350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9.7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Italy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39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261.5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Germany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492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502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2.0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Rest of the Economic Blocs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447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437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-2.2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Rest of the Economic Blocs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1,777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1,884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 w:bidi="ar-JO"/>
              </w:rPr>
              <w:t>6.0</w:t>
            </w:r>
          </w:p>
        </w:tc>
      </w:tr>
      <w:tr w:rsidR="00DB6B2F" w:rsidRPr="007A405B" w:rsidTr="007A405B">
        <w:trPr>
          <w:trHeight w:val="630"/>
        </w:trPr>
        <w:tc>
          <w:tcPr>
            <w:tcW w:w="2605" w:type="dxa"/>
            <w:shd w:val="clear" w:color="auto" w:fill="auto"/>
            <w:vAlign w:val="center"/>
          </w:tcPr>
          <w:p w:rsidR="00DB6B2F" w:rsidRPr="007A405B" w:rsidRDefault="00DB6B2F" w:rsidP="00DB6B2F">
            <w:pPr>
              <w:tabs>
                <w:tab w:val="right" w:pos="0"/>
                <w:tab w:val="left" w:pos="29"/>
                <w:tab w:val="right" w:pos="389"/>
                <w:tab w:val="right" w:pos="8669"/>
              </w:tabs>
              <w:bidi w:val="0"/>
              <w:spacing w:before="120" w:after="120"/>
              <w:ind w:right="-990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Of which Free Zone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170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B6B2F" w:rsidRPr="007A405B" w:rsidRDefault="00DB6B2F" w:rsidP="007A405B">
            <w:pPr>
              <w:tabs>
                <w:tab w:val="right" w:pos="206"/>
                <w:tab w:val="right" w:pos="386"/>
              </w:tabs>
              <w:ind w:right="-397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-46.5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B2F" w:rsidRPr="007A405B" w:rsidRDefault="00DB6B2F" w:rsidP="00DB6B2F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Of which Switzerland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221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423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B2F" w:rsidRPr="007A405B" w:rsidRDefault="00DB6B2F" w:rsidP="00DB6B2F">
            <w:pPr>
              <w:tabs>
                <w:tab w:val="right" w:pos="206"/>
                <w:tab w:val="right" w:pos="386"/>
              </w:tabs>
              <w:ind w:left="-360" w:right="-360"/>
              <w:jc w:val="center"/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</w:pPr>
            <w:r w:rsidRPr="007A405B">
              <w:rPr>
                <w:rFonts w:asciiTheme="majorBidi" w:hAnsiTheme="majorBidi" w:cstheme="majorBidi"/>
                <w:sz w:val="20"/>
                <w:szCs w:val="20"/>
                <w:lang w:eastAsia="ar-SA" w:bidi="ar-JO"/>
              </w:rPr>
              <w:t>91.4</w:t>
            </w:r>
          </w:p>
        </w:tc>
      </w:tr>
    </w:tbl>
    <w:bookmarkEnd w:id="4"/>
    <w:bookmarkEnd w:id="5"/>
    <w:p w:rsidR="00EC0569" w:rsidRPr="00DB6B2F" w:rsidRDefault="00F8041B" w:rsidP="00DB6B2F">
      <w:pPr>
        <w:bidi w:val="0"/>
        <w:ind w:left="-630"/>
        <w:jc w:val="both"/>
        <w:rPr>
          <w:rFonts w:asciiTheme="majorBidi" w:hAnsiTheme="majorBidi" w:cstheme="majorBidi"/>
          <w:sz w:val="18"/>
          <w:szCs w:val="18"/>
          <w:lang w:eastAsia="ar-SA"/>
        </w:rPr>
      </w:pP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Source: Department of statistics </w:t>
      </w:r>
      <w:r w:rsidR="0038798E" w:rsidRPr="00DB6B2F">
        <w:rPr>
          <w:rFonts w:asciiTheme="majorBidi" w:hAnsiTheme="majorBidi" w:cstheme="majorBidi"/>
          <w:sz w:val="18"/>
          <w:szCs w:val="18"/>
          <w:lang w:eastAsia="ar-SA"/>
        </w:rPr>
        <w:t>– External Trade Division</w:t>
      </w: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/ </w:t>
      </w:r>
      <w:r w:rsidR="004964F4" w:rsidRPr="00DB6B2F">
        <w:rPr>
          <w:rFonts w:asciiTheme="majorBidi" w:hAnsiTheme="majorBidi" w:cstheme="majorBidi"/>
          <w:sz w:val="18"/>
          <w:szCs w:val="18"/>
          <w:lang w:eastAsia="ar-SA"/>
        </w:rPr>
        <w:t>E</w:t>
      </w: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xternal </w:t>
      </w:r>
      <w:r w:rsidR="004964F4" w:rsidRPr="00DB6B2F">
        <w:rPr>
          <w:rFonts w:asciiTheme="majorBidi" w:hAnsiTheme="majorBidi" w:cstheme="majorBidi"/>
          <w:sz w:val="18"/>
          <w:szCs w:val="18"/>
          <w:lang w:eastAsia="ar-SA"/>
        </w:rPr>
        <w:t>T</w:t>
      </w: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rade </w:t>
      </w:r>
      <w:r w:rsidR="004964F4" w:rsidRPr="00DB6B2F">
        <w:rPr>
          <w:rFonts w:asciiTheme="majorBidi" w:hAnsiTheme="majorBidi" w:cstheme="majorBidi"/>
          <w:sz w:val="18"/>
          <w:szCs w:val="18"/>
          <w:lang w:eastAsia="ar-SA"/>
        </w:rPr>
        <w:t>R</w:t>
      </w: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eport of </w:t>
      </w:r>
      <w:r w:rsidR="00DB6B2F" w:rsidRPr="00DB6B2F">
        <w:rPr>
          <w:rFonts w:asciiTheme="majorBidi" w:hAnsiTheme="majorBidi" w:cstheme="majorBidi"/>
          <w:sz w:val="18"/>
          <w:szCs w:val="18"/>
          <w:lang w:eastAsia="ar-SA"/>
        </w:rPr>
        <w:t>September</w:t>
      </w: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 </w:t>
      </w:r>
      <w:r w:rsidR="00BE6248" w:rsidRPr="00DB6B2F">
        <w:rPr>
          <w:rFonts w:asciiTheme="majorBidi" w:hAnsiTheme="majorBidi" w:cstheme="majorBidi"/>
          <w:sz w:val="18"/>
          <w:szCs w:val="18"/>
          <w:lang w:eastAsia="ar-SA"/>
        </w:rPr>
        <w:t>2025</w:t>
      </w:r>
    </w:p>
    <w:p w:rsidR="00084C4B" w:rsidRPr="00DB6B2F" w:rsidRDefault="00F8041B" w:rsidP="00EC0569">
      <w:pPr>
        <w:bidi w:val="0"/>
        <w:ind w:left="-630"/>
        <w:rPr>
          <w:rFonts w:asciiTheme="majorBidi" w:hAnsiTheme="majorBidi" w:cstheme="majorBidi"/>
          <w:sz w:val="18"/>
          <w:szCs w:val="18"/>
          <w:lang w:eastAsia="ar-SA"/>
        </w:rPr>
      </w:pPr>
      <w:r w:rsidRPr="00DB6B2F">
        <w:rPr>
          <w:rFonts w:asciiTheme="majorBidi" w:hAnsiTheme="majorBidi" w:cstheme="majorBidi"/>
          <w:sz w:val="18"/>
          <w:szCs w:val="18"/>
          <w:lang w:eastAsia="ar-SA"/>
        </w:rPr>
        <w:t xml:space="preserve">*Primary Numbers  </w:t>
      </w:r>
    </w:p>
    <w:p w:rsidR="00EC0569" w:rsidRPr="00DB6B2F" w:rsidRDefault="00EC0569" w:rsidP="00EC0569">
      <w:pPr>
        <w:bidi w:val="0"/>
        <w:rPr>
          <w:rFonts w:asciiTheme="majorBidi" w:hAnsiTheme="majorBidi" w:cstheme="majorBidi"/>
          <w:lang w:eastAsia="ar-SA"/>
        </w:rPr>
      </w:pPr>
    </w:p>
    <w:p w:rsidR="00EC0569" w:rsidRDefault="00EC0569" w:rsidP="00EC0569">
      <w:pPr>
        <w:bidi w:val="0"/>
        <w:rPr>
          <w:rFonts w:asciiTheme="majorBidi" w:hAnsiTheme="majorBidi" w:cstheme="majorBidi"/>
          <w:lang w:eastAsia="ar-SA"/>
        </w:rPr>
      </w:pPr>
    </w:p>
    <w:p w:rsidR="007A405B" w:rsidRDefault="007A405B" w:rsidP="007A405B">
      <w:pPr>
        <w:bidi w:val="0"/>
        <w:rPr>
          <w:rFonts w:asciiTheme="majorBidi" w:hAnsiTheme="majorBidi" w:cstheme="majorBidi"/>
          <w:lang w:eastAsia="ar-SA"/>
        </w:rPr>
      </w:pPr>
    </w:p>
    <w:p w:rsidR="007A405B" w:rsidRDefault="007A405B" w:rsidP="007A405B">
      <w:pPr>
        <w:bidi w:val="0"/>
        <w:rPr>
          <w:rFonts w:asciiTheme="majorBidi" w:hAnsiTheme="majorBidi" w:cstheme="majorBidi"/>
          <w:lang w:eastAsia="ar-SA"/>
        </w:rPr>
      </w:pPr>
    </w:p>
    <w:p w:rsidR="007A405B" w:rsidRDefault="007A405B" w:rsidP="007A405B">
      <w:pPr>
        <w:bidi w:val="0"/>
        <w:rPr>
          <w:rFonts w:asciiTheme="majorBidi" w:hAnsiTheme="majorBidi" w:cstheme="majorBidi"/>
          <w:lang w:eastAsia="ar-SA"/>
        </w:rPr>
      </w:pPr>
    </w:p>
    <w:p w:rsidR="007A405B" w:rsidRDefault="007A405B" w:rsidP="007A405B">
      <w:pPr>
        <w:bidi w:val="0"/>
        <w:rPr>
          <w:rFonts w:asciiTheme="majorBidi" w:hAnsiTheme="majorBidi" w:cstheme="majorBidi"/>
          <w:lang w:eastAsia="ar-SA"/>
        </w:rPr>
      </w:pPr>
    </w:p>
    <w:p w:rsidR="007A405B" w:rsidRPr="00DB6B2F" w:rsidRDefault="007A405B" w:rsidP="007A405B">
      <w:pPr>
        <w:bidi w:val="0"/>
        <w:rPr>
          <w:rFonts w:asciiTheme="majorBidi" w:hAnsiTheme="majorBidi" w:cstheme="majorBidi"/>
          <w:lang w:eastAsia="ar-SA"/>
        </w:rPr>
      </w:pPr>
    </w:p>
    <w:p w:rsidR="0038798E" w:rsidRPr="00DB6B2F" w:rsidRDefault="0038798E" w:rsidP="0038798E">
      <w:pPr>
        <w:bidi w:val="0"/>
        <w:rPr>
          <w:rFonts w:asciiTheme="majorBidi" w:hAnsiTheme="majorBidi" w:cstheme="majorBidi"/>
          <w:lang w:eastAsia="ar-SA"/>
        </w:rPr>
      </w:pPr>
    </w:p>
    <w:p w:rsidR="00F8041B" w:rsidRPr="00DB6B2F" w:rsidRDefault="000957F6" w:rsidP="00DB6B2F">
      <w:pPr>
        <w:bidi w:val="0"/>
        <w:jc w:val="center"/>
        <w:rPr>
          <w:rFonts w:asciiTheme="majorBidi" w:hAnsiTheme="majorBidi" w:cstheme="majorBidi"/>
          <w:b/>
          <w:bCs/>
          <w:lang w:eastAsia="ar-SA"/>
        </w:rPr>
      </w:pPr>
      <w:r w:rsidRPr="00DB6B2F">
        <w:rPr>
          <w:rFonts w:asciiTheme="majorBidi" w:hAnsiTheme="majorBidi" w:cstheme="majorBidi"/>
          <w:b/>
          <w:bCs/>
          <w:lang w:eastAsia="ar-SA"/>
        </w:rPr>
        <w:lastRenderedPageBreak/>
        <w:t xml:space="preserve">National </w:t>
      </w:r>
      <w:r w:rsidR="000706C8" w:rsidRPr="00DB6B2F">
        <w:rPr>
          <w:rFonts w:asciiTheme="majorBidi" w:hAnsiTheme="majorBidi" w:cstheme="majorBidi"/>
          <w:b/>
          <w:bCs/>
          <w:lang w:eastAsia="ar-SA"/>
        </w:rPr>
        <w:t>Exports</w:t>
      </w:r>
      <w:r w:rsidRPr="00DB6B2F">
        <w:rPr>
          <w:rFonts w:asciiTheme="majorBidi" w:hAnsiTheme="majorBidi" w:cstheme="majorBidi"/>
          <w:b/>
          <w:bCs/>
          <w:lang w:eastAsia="ar-SA"/>
        </w:rPr>
        <w:t xml:space="preserve"> </w:t>
      </w:r>
      <w:r w:rsidR="0028462C" w:rsidRPr="00DB6B2F">
        <w:rPr>
          <w:rFonts w:asciiTheme="majorBidi" w:hAnsiTheme="majorBidi" w:cstheme="majorBidi"/>
          <w:b/>
          <w:bCs/>
          <w:lang w:eastAsia="ar-SA"/>
        </w:rPr>
        <w:t>by</w:t>
      </w:r>
      <w:r w:rsidRPr="00DB6B2F">
        <w:rPr>
          <w:rFonts w:asciiTheme="majorBidi" w:hAnsiTheme="majorBidi" w:cstheme="majorBidi"/>
          <w:b/>
          <w:bCs/>
          <w:lang w:eastAsia="ar-SA"/>
        </w:rPr>
        <w:t xml:space="preserve"> the </w:t>
      </w:r>
      <w:r w:rsidR="000706C8" w:rsidRPr="00DB6B2F">
        <w:rPr>
          <w:rFonts w:asciiTheme="majorBidi" w:hAnsiTheme="majorBidi" w:cstheme="majorBidi"/>
          <w:b/>
          <w:bCs/>
          <w:lang w:eastAsia="ar-SA"/>
        </w:rPr>
        <w:t xml:space="preserve">Most Important Trade Partners During </w:t>
      </w:r>
      <w:r w:rsidR="00A843B5" w:rsidRPr="00DB6B2F">
        <w:rPr>
          <w:rFonts w:asciiTheme="majorBidi" w:hAnsiTheme="majorBidi" w:cstheme="majorBidi"/>
          <w:b/>
          <w:bCs/>
          <w:lang w:eastAsia="ar-SA"/>
        </w:rPr>
        <w:t xml:space="preserve">the </w:t>
      </w:r>
      <w:r w:rsidR="000706C8" w:rsidRPr="00DB6B2F">
        <w:rPr>
          <w:rFonts w:asciiTheme="majorBidi" w:hAnsiTheme="majorBidi" w:cstheme="majorBidi"/>
          <w:b/>
          <w:bCs/>
          <w:lang w:eastAsia="ar-SA"/>
        </w:rPr>
        <w:t xml:space="preserve">First </w:t>
      </w:r>
      <w:r w:rsidR="00DB6B2F" w:rsidRPr="00DB6B2F">
        <w:rPr>
          <w:rFonts w:asciiTheme="majorBidi" w:hAnsiTheme="majorBidi" w:cstheme="majorBidi"/>
          <w:b/>
          <w:bCs/>
          <w:lang w:eastAsia="ar-SA"/>
        </w:rPr>
        <w:t>Nine</w:t>
      </w:r>
      <w:r w:rsidR="000706C8" w:rsidRPr="00DB6B2F">
        <w:rPr>
          <w:rFonts w:asciiTheme="majorBidi" w:hAnsiTheme="majorBidi" w:cstheme="majorBidi"/>
          <w:b/>
          <w:bCs/>
          <w:lang w:eastAsia="ar-SA"/>
        </w:rPr>
        <w:t xml:space="preserve"> Months of the Years </w:t>
      </w:r>
      <w:r w:rsidR="0028462C" w:rsidRPr="00DB6B2F">
        <w:rPr>
          <w:rFonts w:asciiTheme="majorBidi" w:hAnsiTheme="majorBidi" w:cstheme="majorBidi"/>
          <w:b/>
          <w:bCs/>
          <w:lang w:eastAsia="ar-SA"/>
        </w:rPr>
        <w:t xml:space="preserve">(2023, </w:t>
      </w:r>
      <w:r w:rsidR="00EC0569" w:rsidRPr="00DB6B2F">
        <w:rPr>
          <w:rFonts w:asciiTheme="majorBidi" w:hAnsiTheme="majorBidi" w:cstheme="majorBidi"/>
          <w:b/>
          <w:bCs/>
          <w:lang w:eastAsia="ar-SA"/>
        </w:rPr>
        <w:t>2024</w:t>
      </w:r>
      <w:r w:rsidR="0028462C" w:rsidRPr="00DB6B2F">
        <w:rPr>
          <w:rFonts w:asciiTheme="majorBidi" w:hAnsiTheme="majorBidi" w:cstheme="majorBidi"/>
          <w:b/>
          <w:bCs/>
          <w:lang w:eastAsia="ar-SA"/>
        </w:rPr>
        <w:t>,</w:t>
      </w:r>
      <w:r w:rsidR="00EC0569" w:rsidRPr="00DB6B2F">
        <w:rPr>
          <w:rFonts w:asciiTheme="majorBidi" w:hAnsiTheme="majorBidi" w:cstheme="majorBidi"/>
          <w:b/>
          <w:bCs/>
          <w:lang w:eastAsia="ar-SA"/>
        </w:rPr>
        <w:t xml:space="preserve"> and 2025</w:t>
      </w:r>
      <w:r w:rsidR="0028462C" w:rsidRPr="00DB6B2F">
        <w:rPr>
          <w:rFonts w:asciiTheme="majorBidi" w:hAnsiTheme="majorBidi" w:cstheme="majorBidi"/>
          <w:b/>
          <w:bCs/>
          <w:lang w:eastAsia="ar-SA"/>
        </w:rPr>
        <w:t>)</w:t>
      </w:r>
    </w:p>
    <w:p w:rsidR="00F8041B" w:rsidRPr="00DB6B2F" w:rsidRDefault="00F8041B" w:rsidP="00F8041B">
      <w:pPr>
        <w:bidi w:val="0"/>
        <w:rPr>
          <w:rFonts w:asciiTheme="majorBidi" w:hAnsiTheme="majorBidi" w:cstheme="majorBidi"/>
          <w:lang w:eastAsia="ar-SA"/>
        </w:rPr>
      </w:pPr>
    </w:p>
    <w:p w:rsidR="00C4219C" w:rsidRPr="00DB6B2F" w:rsidRDefault="00C4219C" w:rsidP="00C4219C">
      <w:pPr>
        <w:bidi w:val="0"/>
        <w:rPr>
          <w:rFonts w:asciiTheme="majorBidi" w:hAnsiTheme="majorBidi" w:cstheme="majorBidi"/>
          <w:lang w:eastAsia="ar-SA"/>
        </w:rPr>
      </w:pPr>
    </w:p>
    <w:p w:rsidR="00C4219C" w:rsidRPr="00DB6B2F" w:rsidRDefault="00DB6B2F" w:rsidP="00C4219C">
      <w:pPr>
        <w:bidi w:val="0"/>
        <w:rPr>
          <w:rFonts w:asciiTheme="majorBidi" w:hAnsiTheme="majorBidi" w:cstheme="majorBidi"/>
          <w:lang w:eastAsia="ar-SA"/>
        </w:rPr>
      </w:pPr>
      <w:r w:rsidRPr="00DB6B2F">
        <w:rPr>
          <w:noProof/>
        </w:rPr>
        <w:drawing>
          <wp:inline distT="0" distB="0" distL="0" distR="0">
            <wp:extent cx="5715000" cy="2952750"/>
            <wp:effectExtent l="0" t="0" r="0" b="0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31BD" w:rsidRPr="00DB6B2F" w:rsidRDefault="00F931BD" w:rsidP="00F931BD">
      <w:pPr>
        <w:bidi w:val="0"/>
        <w:rPr>
          <w:rFonts w:asciiTheme="majorBidi" w:hAnsiTheme="majorBidi" w:cstheme="majorBidi"/>
          <w:lang w:eastAsia="ar-SA"/>
        </w:rPr>
      </w:pPr>
    </w:p>
    <w:p w:rsidR="00C4219C" w:rsidRPr="00DB6B2F" w:rsidRDefault="00C4219C" w:rsidP="00DB6B2F">
      <w:pPr>
        <w:bidi w:val="0"/>
        <w:jc w:val="center"/>
        <w:rPr>
          <w:rFonts w:asciiTheme="majorBidi" w:hAnsiTheme="majorBidi" w:cstheme="majorBidi"/>
          <w:b/>
          <w:bCs/>
          <w:lang w:eastAsia="ar-SA"/>
        </w:rPr>
      </w:pPr>
      <w:r w:rsidRPr="00DB6B2F">
        <w:rPr>
          <w:rFonts w:asciiTheme="majorBidi" w:hAnsiTheme="majorBidi" w:cstheme="majorBidi"/>
          <w:b/>
          <w:bCs/>
          <w:lang w:eastAsia="ar-SA"/>
        </w:rPr>
        <w:t xml:space="preserve">Imports by the Most Important Trade Partners During the First </w:t>
      </w:r>
      <w:r w:rsidR="00DB6B2F" w:rsidRPr="00DB6B2F">
        <w:rPr>
          <w:rFonts w:asciiTheme="majorBidi" w:hAnsiTheme="majorBidi" w:cstheme="majorBidi"/>
          <w:b/>
          <w:bCs/>
          <w:lang w:eastAsia="ar-SA"/>
        </w:rPr>
        <w:t>Nine</w:t>
      </w:r>
      <w:r w:rsidRPr="00DB6B2F">
        <w:rPr>
          <w:rFonts w:asciiTheme="majorBidi" w:hAnsiTheme="majorBidi" w:cstheme="majorBidi"/>
          <w:b/>
          <w:bCs/>
          <w:lang w:eastAsia="ar-SA"/>
        </w:rPr>
        <w:t xml:space="preserve"> Months of the Years (2023, 2024, and 2025)</w:t>
      </w:r>
    </w:p>
    <w:p w:rsidR="000706C8" w:rsidRPr="00DB6B2F" w:rsidRDefault="000706C8" w:rsidP="00957E19">
      <w:pPr>
        <w:bidi w:val="0"/>
        <w:rPr>
          <w:rFonts w:asciiTheme="majorBidi" w:hAnsiTheme="majorBidi" w:cstheme="majorBidi"/>
          <w:b/>
          <w:bCs/>
          <w:lang w:eastAsia="ar-SA"/>
        </w:rPr>
      </w:pPr>
    </w:p>
    <w:p w:rsidR="00F458A1" w:rsidRPr="00DB6B2F" w:rsidRDefault="00F458A1" w:rsidP="00F458A1">
      <w:pPr>
        <w:bidi w:val="0"/>
        <w:rPr>
          <w:rFonts w:asciiTheme="majorBidi" w:hAnsiTheme="majorBidi" w:cstheme="majorBidi"/>
          <w:b/>
          <w:bCs/>
          <w:lang w:eastAsia="ar-SA"/>
        </w:rPr>
      </w:pPr>
    </w:p>
    <w:p w:rsidR="00C2487D" w:rsidRPr="00DB6B2F" w:rsidRDefault="00DB6B2F" w:rsidP="007A405B">
      <w:pPr>
        <w:bidi w:val="0"/>
        <w:rPr>
          <w:rFonts w:asciiTheme="majorBidi" w:hAnsiTheme="majorBidi" w:cstheme="majorBidi"/>
          <w:sz w:val="18"/>
          <w:szCs w:val="18"/>
          <w:lang w:eastAsia="ar-SA"/>
        </w:rPr>
      </w:pPr>
      <w:r w:rsidRPr="00DB6B2F">
        <w:rPr>
          <w:noProof/>
        </w:rPr>
        <w:drawing>
          <wp:inline distT="0" distB="0" distL="0" distR="0">
            <wp:extent cx="5905500" cy="3253740"/>
            <wp:effectExtent l="0" t="0" r="0" b="381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B5977">
        <w:rPr>
          <w:rFonts w:asciiTheme="majorBidi" w:hAnsiTheme="majorBidi" w:cstheme="majorBidi"/>
          <w:b/>
          <w:bCs/>
        </w:rPr>
        <w:pict>
          <v:rect id="_x0000_i1026" style="width:0;height:1.5pt" o:hralign="center" o:hrstd="t" o:hr="t" fillcolor="#a0a0a0" stroked="f"/>
        </w:pict>
      </w:r>
    </w:p>
    <w:p w:rsidR="000957F6" w:rsidRPr="00AE4672" w:rsidRDefault="00C2487D" w:rsidP="00F458A1">
      <w:pPr>
        <w:bidi w:val="0"/>
        <w:jc w:val="both"/>
        <w:rPr>
          <w:rFonts w:asciiTheme="majorBidi" w:hAnsiTheme="majorBidi" w:cstheme="majorBidi"/>
          <w:sz w:val="18"/>
          <w:szCs w:val="18"/>
          <w:rtl/>
          <w:lang w:eastAsia="ar-SA" w:bidi="ar-JO"/>
        </w:rPr>
      </w:pPr>
      <w:r w:rsidRPr="00DB6B2F">
        <w:rPr>
          <w:rFonts w:asciiTheme="majorBidi" w:hAnsiTheme="majorBidi" w:cstheme="majorBidi"/>
          <w:sz w:val="18"/>
          <w:szCs w:val="18"/>
        </w:rPr>
        <w:t xml:space="preserve">For more information, please contact Alaa Al-Khasawneh: External Trade </w:t>
      </w:r>
      <w:r w:rsidR="006F609D" w:rsidRPr="00DB6B2F">
        <w:rPr>
          <w:rFonts w:asciiTheme="majorBidi" w:hAnsiTheme="majorBidi" w:cstheme="majorBidi"/>
          <w:sz w:val="18"/>
          <w:szCs w:val="18"/>
        </w:rPr>
        <w:t>Division</w:t>
      </w:r>
      <w:r w:rsidRPr="00DB6B2F">
        <w:rPr>
          <w:rFonts w:asciiTheme="majorBidi" w:hAnsiTheme="majorBidi" w:cstheme="majorBidi"/>
          <w:sz w:val="18"/>
          <w:szCs w:val="18"/>
        </w:rPr>
        <w:t xml:space="preserve"> / </w:t>
      </w:r>
      <w:r w:rsidR="004964F4" w:rsidRPr="00DB6B2F">
        <w:rPr>
          <w:rFonts w:asciiTheme="majorBidi" w:hAnsiTheme="majorBidi" w:cstheme="majorBidi"/>
          <w:sz w:val="18"/>
          <w:szCs w:val="18"/>
        </w:rPr>
        <w:t>Telephone</w:t>
      </w:r>
      <w:r w:rsidRPr="00DB6B2F">
        <w:rPr>
          <w:rFonts w:asciiTheme="majorBidi" w:hAnsiTheme="majorBidi" w:cstheme="majorBidi"/>
          <w:sz w:val="18"/>
          <w:szCs w:val="18"/>
        </w:rPr>
        <w:t xml:space="preserve">: +962-6-5300700, </w:t>
      </w:r>
      <w:r w:rsidR="00F458A1" w:rsidRPr="00DB6B2F">
        <w:rPr>
          <w:rFonts w:asciiTheme="majorBidi" w:hAnsiTheme="majorBidi" w:cstheme="majorBidi"/>
          <w:sz w:val="18"/>
          <w:szCs w:val="18"/>
        </w:rPr>
        <w:t xml:space="preserve">Ext. </w:t>
      </w:r>
      <w:r w:rsidRPr="00DB6B2F">
        <w:rPr>
          <w:rFonts w:asciiTheme="majorBidi" w:hAnsiTheme="majorBidi" w:cstheme="majorBidi"/>
          <w:sz w:val="18"/>
          <w:szCs w:val="18"/>
        </w:rPr>
        <w:t>1303</w:t>
      </w:r>
      <w:r w:rsidR="004964F4" w:rsidRPr="00DB6B2F">
        <w:rPr>
          <w:rFonts w:asciiTheme="majorBidi" w:hAnsiTheme="majorBidi" w:cstheme="majorBidi"/>
          <w:sz w:val="18"/>
          <w:szCs w:val="18"/>
        </w:rPr>
        <w:t>.</w:t>
      </w:r>
    </w:p>
    <w:sectPr w:rsidR="000957F6" w:rsidRPr="00AE4672" w:rsidSect="003F7BBE">
      <w:pgSz w:w="12240" w:h="15840"/>
      <w:pgMar w:top="1440" w:right="1800" w:bottom="1440" w:left="1800" w:header="432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77" w:rsidRDefault="008B5977" w:rsidP="004B0EE4">
      <w:r>
        <w:separator/>
      </w:r>
    </w:p>
  </w:endnote>
  <w:endnote w:type="continuationSeparator" w:id="0">
    <w:p w:rsidR="008B5977" w:rsidRDefault="008B5977" w:rsidP="004B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77" w:rsidRDefault="008B5977" w:rsidP="004B0EE4">
      <w:r>
        <w:separator/>
      </w:r>
    </w:p>
  </w:footnote>
  <w:footnote w:type="continuationSeparator" w:id="0">
    <w:p w:rsidR="008B5977" w:rsidRDefault="008B5977" w:rsidP="004B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4A07"/>
    <w:multiLevelType w:val="hybridMultilevel"/>
    <w:tmpl w:val="931C1A62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80"/>
    <w:rsid w:val="000031D1"/>
    <w:rsid w:val="0000593D"/>
    <w:rsid w:val="0000683B"/>
    <w:rsid w:val="00010E63"/>
    <w:rsid w:val="000128C3"/>
    <w:rsid w:val="00015E42"/>
    <w:rsid w:val="00021600"/>
    <w:rsid w:val="00025032"/>
    <w:rsid w:val="0002628A"/>
    <w:rsid w:val="00034937"/>
    <w:rsid w:val="0004058F"/>
    <w:rsid w:val="000419B0"/>
    <w:rsid w:val="0004374F"/>
    <w:rsid w:val="00045E2C"/>
    <w:rsid w:val="00045E3E"/>
    <w:rsid w:val="00046EA6"/>
    <w:rsid w:val="000470B4"/>
    <w:rsid w:val="00051BB4"/>
    <w:rsid w:val="00051C07"/>
    <w:rsid w:val="00052984"/>
    <w:rsid w:val="00055CB7"/>
    <w:rsid w:val="00061FE1"/>
    <w:rsid w:val="0006343F"/>
    <w:rsid w:val="00063BAD"/>
    <w:rsid w:val="00063C5E"/>
    <w:rsid w:val="00066A09"/>
    <w:rsid w:val="00067B84"/>
    <w:rsid w:val="000706C8"/>
    <w:rsid w:val="0007222F"/>
    <w:rsid w:val="00077A3A"/>
    <w:rsid w:val="000825C7"/>
    <w:rsid w:val="000842C3"/>
    <w:rsid w:val="00084C4B"/>
    <w:rsid w:val="000922E6"/>
    <w:rsid w:val="00092735"/>
    <w:rsid w:val="00092C19"/>
    <w:rsid w:val="00094BB1"/>
    <w:rsid w:val="00094BE7"/>
    <w:rsid w:val="000957F6"/>
    <w:rsid w:val="000971D1"/>
    <w:rsid w:val="000A19FC"/>
    <w:rsid w:val="000A30A2"/>
    <w:rsid w:val="000A39F4"/>
    <w:rsid w:val="000A47E9"/>
    <w:rsid w:val="000A5614"/>
    <w:rsid w:val="000B0DE1"/>
    <w:rsid w:val="000B6A6F"/>
    <w:rsid w:val="000B71FA"/>
    <w:rsid w:val="000B792A"/>
    <w:rsid w:val="000B7BA2"/>
    <w:rsid w:val="000C2465"/>
    <w:rsid w:val="000C3229"/>
    <w:rsid w:val="000D07BA"/>
    <w:rsid w:val="000D0873"/>
    <w:rsid w:val="000D3110"/>
    <w:rsid w:val="000D437B"/>
    <w:rsid w:val="000D4393"/>
    <w:rsid w:val="000E12AE"/>
    <w:rsid w:val="000E24A4"/>
    <w:rsid w:val="000E3E98"/>
    <w:rsid w:val="000E585D"/>
    <w:rsid w:val="000E6BC1"/>
    <w:rsid w:val="000F1AC2"/>
    <w:rsid w:val="000F4954"/>
    <w:rsid w:val="000F69E2"/>
    <w:rsid w:val="000F778A"/>
    <w:rsid w:val="00102828"/>
    <w:rsid w:val="001060B5"/>
    <w:rsid w:val="00106A89"/>
    <w:rsid w:val="001105C1"/>
    <w:rsid w:val="0011077B"/>
    <w:rsid w:val="001129ED"/>
    <w:rsid w:val="001143C4"/>
    <w:rsid w:val="001168BF"/>
    <w:rsid w:val="00124915"/>
    <w:rsid w:val="001310DC"/>
    <w:rsid w:val="00133966"/>
    <w:rsid w:val="0013461A"/>
    <w:rsid w:val="001356CB"/>
    <w:rsid w:val="0013732B"/>
    <w:rsid w:val="0013788D"/>
    <w:rsid w:val="00141BF8"/>
    <w:rsid w:val="001466CA"/>
    <w:rsid w:val="001474D7"/>
    <w:rsid w:val="00150413"/>
    <w:rsid w:val="00152733"/>
    <w:rsid w:val="00152DF6"/>
    <w:rsid w:val="00155728"/>
    <w:rsid w:val="001569F4"/>
    <w:rsid w:val="00156D15"/>
    <w:rsid w:val="00160248"/>
    <w:rsid w:val="001658DC"/>
    <w:rsid w:val="00173816"/>
    <w:rsid w:val="00174EA5"/>
    <w:rsid w:val="00175299"/>
    <w:rsid w:val="00175CE8"/>
    <w:rsid w:val="00176A3D"/>
    <w:rsid w:val="00177EC7"/>
    <w:rsid w:val="00181C09"/>
    <w:rsid w:val="001840E8"/>
    <w:rsid w:val="0018519E"/>
    <w:rsid w:val="001851A1"/>
    <w:rsid w:val="001857C3"/>
    <w:rsid w:val="001865F1"/>
    <w:rsid w:val="001921EF"/>
    <w:rsid w:val="00196621"/>
    <w:rsid w:val="001A0983"/>
    <w:rsid w:val="001A194A"/>
    <w:rsid w:val="001A2E38"/>
    <w:rsid w:val="001B0B87"/>
    <w:rsid w:val="001B107F"/>
    <w:rsid w:val="001B14A7"/>
    <w:rsid w:val="001B1856"/>
    <w:rsid w:val="001B6089"/>
    <w:rsid w:val="001C21D5"/>
    <w:rsid w:val="001C2B66"/>
    <w:rsid w:val="001C4D8D"/>
    <w:rsid w:val="001C6EF5"/>
    <w:rsid w:val="001D3823"/>
    <w:rsid w:val="001D5C15"/>
    <w:rsid w:val="001E3A70"/>
    <w:rsid w:val="001E4948"/>
    <w:rsid w:val="001E5216"/>
    <w:rsid w:val="001F003F"/>
    <w:rsid w:val="001F62C0"/>
    <w:rsid w:val="00203C4E"/>
    <w:rsid w:val="002042B2"/>
    <w:rsid w:val="002047FE"/>
    <w:rsid w:val="0020610A"/>
    <w:rsid w:val="00206ECD"/>
    <w:rsid w:val="002075C9"/>
    <w:rsid w:val="00211639"/>
    <w:rsid w:val="002140C4"/>
    <w:rsid w:val="00214A15"/>
    <w:rsid w:val="00221697"/>
    <w:rsid w:val="00224583"/>
    <w:rsid w:val="002278E1"/>
    <w:rsid w:val="0023126A"/>
    <w:rsid w:val="00231F35"/>
    <w:rsid w:val="00233272"/>
    <w:rsid w:val="00235800"/>
    <w:rsid w:val="00236B96"/>
    <w:rsid w:val="00241DDE"/>
    <w:rsid w:val="00241E89"/>
    <w:rsid w:val="0024502F"/>
    <w:rsid w:val="00245529"/>
    <w:rsid w:val="00245BD2"/>
    <w:rsid w:val="00247911"/>
    <w:rsid w:val="00250A0A"/>
    <w:rsid w:val="00253122"/>
    <w:rsid w:val="00253A0A"/>
    <w:rsid w:val="00257544"/>
    <w:rsid w:val="00264FBB"/>
    <w:rsid w:val="00282D98"/>
    <w:rsid w:val="0028462C"/>
    <w:rsid w:val="00284B88"/>
    <w:rsid w:val="00294890"/>
    <w:rsid w:val="00296049"/>
    <w:rsid w:val="00296A96"/>
    <w:rsid w:val="002A247E"/>
    <w:rsid w:val="002A44D0"/>
    <w:rsid w:val="002A552D"/>
    <w:rsid w:val="002A5DBB"/>
    <w:rsid w:val="002B269C"/>
    <w:rsid w:val="002B4D0E"/>
    <w:rsid w:val="002C14B6"/>
    <w:rsid w:val="002D6E53"/>
    <w:rsid w:val="002D7AF2"/>
    <w:rsid w:val="002E0BD8"/>
    <w:rsid w:val="002E2909"/>
    <w:rsid w:val="002E4A42"/>
    <w:rsid w:val="002E5B80"/>
    <w:rsid w:val="002F2F83"/>
    <w:rsid w:val="002F36B1"/>
    <w:rsid w:val="002F3D49"/>
    <w:rsid w:val="002F3D91"/>
    <w:rsid w:val="002F49C1"/>
    <w:rsid w:val="00300796"/>
    <w:rsid w:val="00300CC3"/>
    <w:rsid w:val="00305160"/>
    <w:rsid w:val="003072BD"/>
    <w:rsid w:val="00307A6C"/>
    <w:rsid w:val="003118D1"/>
    <w:rsid w:val="00314028"/>
    <w:rsid w:val="00314A28"/>
    <w:rsid w:val="00315B08"/>
    <w:rsid w:val="00315DEC"/>
    <w:rsid w:val="00320F0B"/>
    <w:rsid w:val="0032770F"/>
    <w:rsid w:val="0033276F"/>
    <w:rsid w:val="00332AF5"/>
    <w:rsid w:val="003336D4"/>
    <w:rsid w:val="0034270B"/>
    <w:rsid w:val="00345AEA"/>
    <w:rsid w:val="00346A01"/>
    <w:rsid w:val="00346D2E"/>
    <w:rsid w:val="00354B79"/>
    <w:rsid w:val="00355F51"/>
    <w:rsid w:val="003563F8"/>
    <w:rsid w:val="00356B42"/>
    <w:rsid w:val="00364035"/>
    <w:rsid w:val="00370934"/>
    <w:rsid w:val="00372CB5"/>
    <w:rsid w:val="0037470D"/>
    <w:rsid w:val="00384677"/>
    <w:rsid w:val="00387984"/>
    <w:rsid w:val="0038798E"/>
    <w:rsid w:val="00393E67"/>
    <w:rsid w:val="003954C9"/>
    <w:rsid w:val="0039563C"/>
    <w:rsid w:val="003974AC"/>
    <w:rsid w:val="00397B8F"/>
    <w:rsid w:val="00397E55"/>
    <w:rsid w:val="003A4063"/>
    <w:rsid w:val="003B0EF7"/>
    <w:rsid w:val="003B43CF"/>
    <w:rsid w:val="003B595B"/>
    <w:rsid w:val="003C3804"/>
    <w:rsid w:val="003C3DA2"/>
    <w:rsid w:val="003C69A5"/>
    <w:rsid w:val="003D1A78"/>
    <w:rsid w:val="003D5573"/>
    <w:rsid w:val="003E2B00"/>
    <w:rsid w:val="003F1F17"/>
    <w:rsid w:val="003F7BBE"/>
    <w:rsid w:val="004016B0"/>
    <w:rsid w:val="0040279D"/>
    <w:rsid w:val="00402B3E"/>
    <w:rsid w:val="00402F9D"/>
    <w:rsid w:val="00403899"/>
    <w:rsid w:val="00405675"/>
    <w:rsid w:val="00405A84"/>
    <w:rsid w:val="00413A1B"/>
    <w:rsid w:val="004154CE"/>
    <w:rsid w:val="00415D93"/>
    <w:rsid w:val="00417805"/>
    <w:rsid w:val="0041797B"/>
    <w:rsid w:val="00422A3E"/>
    <w:rsid w:val="00426341"/>
    <w:rsid w:val="00426A8D"/>
    <w:rsid w:val="00432CA4"/>
    <w:rsid w:val="00432D47"/>
    <w:rsid w:val="00435FDE"/>
    <w:rsid w:val="0043634B"/>
    <w:rsid w:val="004371D0"/>
    <w:rsid w:val="004423AD"/>
    <w:rsid w:val="00443083"/>
    <w:rsid w:val="00444643"/>
    <w:rsid w:val="00445790"/>
    <w:rsid w:val="00445BB1"/>
    <w:rsid w:val="00450719"/>
    <w:rsid w:val="00450A30"/>
    <w:rsid w:val="00452D4B"/>
    <w:rsid w:val="0045771E"/>
    <w:rsid w:val="00457D75"/>
    <w:rsid w:val="00460F6C"/>
    <w:rsid w:val="00462E24"/>
    <w:rsid w:val="00463FE2"/>
    <w:rsid w:val="0047024D"/>
    <w:rsid w:val="00472628"/>
    <w:rsid w:val="00480EFF"/>
    <w:rsid w:val="0048217D"/>
    <w:rsid w:val="00486004"/>
    <w:rsid w:val="0049123D"/>
    <w:rsid w:val="00491A6E"/>
    <w:rsid w:val="004932B0"/>
    <w:rsid w:val="004964F4"/>
    <w:rsid w:val="004A1DAB"/>
    <w:rsid w:val="004A3EC5"/>
    <w:rsid w:val="004A71F4"/>
    <w:rsid w:val="004B04A7"/>
    <w:rsid w:val="004B0583"/>
    <w:rsid w:val="004B0EC5"/>
    <w:rsid w:val="004B0EE4"/>
    <w:rsid w:val="004B1125"/>
    <w:rsid w:val="004B1CAF"/>
    <w:rsid w:val="004B324E"/>
    <w:rsid w:val="004B3CC8"/>
    <w:rsid w:val="004B6050"/>
    <w:rsid w:val="004B618A"/>
    <w:rsid w:val="004C12DE"/>
    <w:rsid w:val="004C1623"/>
    <w:rsid w:val="004C330B"/>
    <w:rsid w:val="004C3A8F"/>
    <w:rsid w:val="004D52FA"/>
    <w:rsid w:val="004D769B"/>
    <w:rsid w:val="004D7A6B"/>
    <w:rsid w:val="004E793E"/>
    <w:rsid w:val="004E7DE0"/>
    <w:rsid w:val="004F7816"/>
    <w:rsid w:val="004F7994"/>
    <w:rsid w:val="005024A3"/>
    <w:rsid w:val="005032FC"/>
    <w:rsid w:val="0050461B"/>
    <w:rsid w:val="00504A30"/>
    <w:rsid w:val="00513C76"/>
    <w:rsid w:val="00515A10"/>
    <w:rsid w:val="005177A2"/>
    <w:rsid w:val="00517EC6"/>
    <w:rsid w:val="00520E95"/>
    <w:rsid w:val="005211B5"/>
    <w:rsid w:val="00524F42"/>
    <w:rsid w:val="005251EA"/>
    <w:rsid w:val="00533BA4"/>
    <w:rsid w:val="00533C32"/>
    <w:rsid w:val="00535CE4"/>
    <w:rsid w:val="00536812"/>
    <w:rsid w:val="00536D74"/>
    <w:rsid w:val="0054094F"/>
    <w:rsid w:val="00542387"/>
    <w:rsid w:val="00542809"/>
    <w:rsid w:val="0054600E"/>
    <w:rsid w:val="00546182"/>
    <w:rsid w:val="00550274"/>
    <w:rsid w:val="005515F7"/>
    <w:rsid w:val="005542F3"/>
    <w:rsid w:val="00560B5D"/>
    <w:rsid w:val="00563370"/>
    <w:rsid w:val="0056516E"/>
    <w:rsid w:val="00572379"/>
    <w:rsid w:val="00575102"/>
    <w:rsid w:val="00577169"/>
    <w:rsid w:val="005826F4"/>
    <w:rsid w:val="00586D46"/>
    <w:rsid w:val="00590DBF"/>
    <w:rsid w:val="00594EC8"/>
    <w:rsid w:val="00595E26"/>
    <w:rsid w:val="005A21F9"/>
    <w:rsid w:val="005A7BA9"/>
    <w:rsid w:val="005B2301"/>
    <w:rsid w:val="005B26DD"/>
    <w:rsid w:val="005B50BC"/>
    <w:rsid w:val="005B5315"/>
    <w:rsid w:val="005C7AED"/>
    <w:rsid w:val="005D0B48"/>
    <w:rsid w:val="005D0D35"/>
    <w:rsid w:val="005D1BED"/>
    <w:rsid w:val="005E6E75"/>
    <w:rsid w:val="005E717F"/>
    <w:rsid w:val="005F0D01"/>
    <w:rsid w:val="005F1FF9"/>
    <w:rsid w:val="005F2363"/>
    <w:rsid w:val="005F5F65"/>
    <w:rsid w:val="006045FC"/>
    <w:rsid w:val="00605E8B"/>
    <w:rsid w:val="00606C76"/>
    <w:rsid w:val="006115EA"/>
    <w:rsid w:val="006119D0"/>
    <w:rsid w:val="006127D2"/>
    <w:rsid w:val="00612902"/>
    <w:rsid w:val="006130E8"/>
    <w:rsid w:val="006137EA"/>
    <w:rsid w:val="006138B3"/>
    <w:rsid w:val="00616185"/>
    <w:rsid w:val="006178BF"/>
    <w:rsid w:val="00620625"/>
    <w:rsid w:val="00623C6D"/>
    <w:rsid w:val="00623CCA"/>
    <w:rsid w:val="006319CD"/>
    <w:rsid w:val="006339D3"/>
    <w:rsid w:val="00635223"/>
    <w:rsid w:val="0063576C"/>
    <w:rsid w:val="006360FF"/>
    <w:rsid w:val="00637F2F"/>
    <w:rsid w:val="006420BF"/>
    <w:rsid w:val="00643983"/>
    <w:rsid w:val="0064573D"/>
    <w:rsid w:val="00650AB2"/>
    <w:rsid w:val="006522EE"/>
    <w:rsid w:val="0065303F"/>
    <w:rsid w:val="006621CF"/>
    <w:rsid w:val="00664DEC"/>
    <w:rsid w:val="006661DE"/>
    <w:rsid w:val="00667F07"/>
    <w:rsid w:val="00670009"/>
    <w:rsid w:val="00670619"/>
    <w:rsid w:val="00670EDA"/>
    <w:rsid w:val="006711CE"/>
    <w:rsid w:val="00671430"/>
    <w:rsid w:val="00677203"/>
    <w:rsid w:val="00683FAF"/>
    <w:rsid w:val="006917A1"/>
    <w:rsid w:val="00692806"/>
    <w:rsid w:val="006937C4"/>
    <w:rsid w:val="006A0A47"/>
    <w:rsid w:val="006A4F9E"/>
    <w:rsid w:val="006A5DD8"/>
    <w:rsid w:val="006A6E95"/>
    <w:rsid w:val="006A7875"/>
    <w:rsid w:val="006B1DEB"/>
    <w:rsid w:val="006B1FB9"/>
    <w:rsid w:val="006B56E1"/>
    <w:rsid w:val="006B7B92"/>
    <w:rsid w:val="006C08E4"/>
    <w:rsid w:val="006C4794"/>
    <w:rsid w:val="006D0353"/>
    <w:rsid w:val="006D3695"/>
    <w:rsid w:val="006D3917"/>
    <w:rsid w:val="006D46EE"/>
    <w:rsid w:val="006D4EA6"/>
    <w:rsid w:val="006D7102"/>
    <w:rsid w:val="006D7230"/>
    <w:rsid w:val="006E3CF5"/>
    <w:rsid w:val="006E42A6"/>
    <w:rsid w:val="006E4DB4"/>
    <w:rsid w:val="006E5F6B"/>
    <w:rsid w:val="006E7B8F"/>
    <w:rsid w:val="006F0329"/>
    <w:rsid w:val="006F1ABB"/>
    <w:rsid w:val="006F3098"/>
    <w:rsid w:val="006F609D"/>
    <w:rsid w:val="00700E7F"/>
    <w:rsid w:val="00702202"/>
    <w:rsid w:val="0070783F"/>
    <w:rsid w:val="0071407C"/>
    <w:rsid w:val="007173E7"/>
    <w:rsid w:val="007266D4"/>
    <w:rsid w:val="007325EE"/>
    <w:rsid w:val="00740416"/>
    <w:rsid w:val="007421C6"/>
    <w:rsid w:val="00742A9B"/>
    <w:rsid w:val="00753B3C"/>
    <w:rsid w:val="00753FD0"/>
    <w:rsid w:val="00755FE6"/>
    <w:rsid w:val="0075603A"/>
    <w:rsid w:val="007658BC"/>
    <w:rsid w:val="00765C80"/>
    <w:rsid w:val="00765F76"/>
    <w:rsid w:val="007675F5"/>
    <w:rsid w:val="00767E8A"/>
    <w:rsid w:val="00770672"/>
    <w:rsid w:val="00773364"/>
    <w:rsid w:val="00773AE1"/>
    <w:rsid w:val="00774040"/>
    <w:rsid w:val="007767D3"/>
    <w:rsid w:val="00783FD1"/>
    <w:rsid w:val="007846A3"/>
    <w:rsid w:val="007856E1"/>
    <w:rsid w:val="00785A15"/>
    <w:rsid w:val="007865F2"/>
    <w:rsid w:val="00787AF8"/>
    <w:rsid w:val="007912B0"/>
    <w:rsid w:val="00791658"/>
    <w:rsid w:val="007921C7"/>
    <w:rsid w:val="007921EB"/>
    <w:rsid w:val="007948FB"/>
    <w:rsid w:val="00795F61"/>
    <w:rsid w:val="007A19E2"/>
    <w:rsid w:val="007A2EB9"/>
    <w:rsid w:val="007A405B"/>
    <w:rsid w:val="007A574C"/>
    <w:rsid w:val="007A5881"/>
    <w:rsid w:val="007A68C5"/>
    <w:rsid w:val="007B310D"/>
    <w:rsid w:val="007B4AB5"/>
    <w:rsid w:val="007C124C"/>
    <w:rsid w:val="007C1B13"/>
    <w:rsid w:val="007C2F0E"/>
    <w:rsid w:val="007C5022"/>
    <w:rsid w:val="007C55FA"/>
    <w:rsid w:val="007D00D6"/>
    <w:rsid w:val="007D18F4"/>
    <w:rsid w:val="007D29BB"/>
    <w:rsid w:val="007D47E8"/>
    <w:rsid w:val="007D49B8"/>
    <w:rsid w:val="007D4CB8"/>
    <w:rsid w:val="007E107A"/>
    <w:rsid w:val="007E324E"/>
    <w:rsid w:val="007E5586"/>
    <w:rsid w:val="007E5D98"/>
    <w:rsid w:val="007E687B"/>
    <w:rsid w:val="007E7A95"/>
    <w:rsid w:val="007F1527"/>
    <w:rsid w:val="007F1C81"/>
    <w:rsid w:val="007F2D98"/>
    <w:rsid w:val="007F5BCE"/>
    <w:rsid w:val="00800B1B"/>
    <w:rsid w:val="008013E2"/>
    <w:rsid w:val="00801783"/>
    <w:rsid w:val="00801D00"/>
    <w:rsid w:val="00802BA6"/>
    <w:rsid w:val="008072D1"/>
    <w:rsid w:val="0080774B"/>
    <w:rsid w:val="008149EE"/>
    <w:rsid w:val="00815694"/>
    <w:rsid w:val="008159AB"/>
    <w:rsid w:val="00820CEA"/>
    <w:rsid w:val="00826223"/>
    <w:rsid w:val="008273AF"/>
    <w:rsid w:val="00832A3D"/>
    <w:rsid w:val="00833AB3"/>
    <w:rsid w:val="00835EA0"/>
    <w:rsid w:val="008403AB"/>
    <w:rsid w:val="00843091"/>
    <w:rsid w:val="0084550B"/>
    <w:rsid w:val="00851CBC"/>
    <w:rsid w:val="00851F6F"/>
    <w:rsid w:val="00852645"/>
    <w:rsid w:val="00856C43"/>
    <w:rsid w:val="00872C38"/>
    <w:rsid w:val="00880236"/>
    <w:rsid w:val="008812AC"/>
    <w:rsid w:val="00882286"/>
    <w:rsid w:val="008831A4"/>
    <w:rsid w:val="00884E20"/>
    <w:rsid w:val="008879A7"/>
    <w:rsid w:val="008940B0"/>
    <w:rsid w:val="00895490"/>
    <w:rsid w:val="00896279"/>
    <w:rsid w:val="008A0F99"/>
    <w:rsid w:val="008A5224"/>
    <w:rsid w:val="008B5977"/>
    <w:rsid w:val="008B6B1D"/>
    <w:rsid w:val="008B7F8A"/>
    <w:rsid w:val="008C1F94"/>
    <w:rsid w:val="008C38E5"/>
    <w:rsid w:val="008D1269"/>
    <w:rsid w:val="008D21DE"/>
    <w:rsid w:val="008D3E31"/>
    <w:rsid w:val="008D3EB7"/>
    <w:rsid w:val="008D7992"/>
    <w:rsid w:val="008D7E0E"/>
    <w:rsid w:val="008F08DA"/>
    <w:rsid w:val="008F1A64"/>
    <w:rsid w:val="008F6433"/>
    <w:rsid w:val="00900510"/>
    <w:rsid w:val="00907249"/>
    <w:rsid w:val="0090786F"/>
    <w:rsid w:val="00911722"/>
    <w:rsid w:val="00911D03"/>
    <w:rsid w:val="0091238F"/>
    <w:rsid w:val="00913379"/>
    <w:rsid w:val="00914D37"/>
    <w:rsid w:val="00925244"/>
    <w:rsid w:val="00926CBB"/>
    <w:rsid w:val="00930E26"/>
    <w:rsid w:val="00935B78"/>
    <w:rsid w:val="00943080"/>
    <w:rsid w:val="0094469B"/>
    <w:rsid w:val="00947C92"/>
    <w:rsid w:val="00950738"/>
    <w:rsid w:val="00954EA4"/>
    <w:rsid w:val="00955FFC"/>
    <w:rsid w:val="009561C1"/>
    <w:rsid w:val="00956B82"/>
    <w:rsid w:val="00957E19"/>
    <w:rsid w:val="0096196D"/>
    <w:rsid w:val="00963207"/>
    <w:rsid w:val="009704F0"/>
    <w:rsid w:val="00976613"/>
    <w:rsid w:val="00977887"/>
    <w:rsid w:val="00981D52"/>
    <w:rsid w:val="00982859"/>
    <w:rsid w:val="009833D4"/>
    <w:rsid w:val="00985FE6"/>
    <w:rsid w:val="00994E63"/>
    <w:rsid w:val="00996100"/>
    <w:rsid w:val="009A00AA"/>
    <w:rsid w:val="009A1898"/>
    <w:rsid w:val="009B08BD"/>
    <w:rsid w:val="009B0B55"/>
    <w:rsid w:val="009B58E4"/>
    <w:rsid w:val="009B60D1"/>
    <w:rsid w:val="009B7DA8"/>
    <w:rsid w:val="009C072E"/>
    <w:rsid w:val="009C195C"/>
    <w:rsid w:val="009C4CB6"/>
    <w:rsid w:val="009C62A7"/>
    <w:rsid w:val="009C6589"/>
    <w:rsid w:val="009C731E"/>
    <w:rsid w:val="009D00A3"/>
    <w:rsid w:val="009D4E28"/>
    <w:rsid w:val="009D5BEB"/>
    <w:rsid w:val="009E183B"/>
    <w:rsid w:val="009E1F72"/>
    <w:rsid w:val="009E30B9"/>
    <w:rsid w:val="009E50BC"/>
    <w:rsid w:val="009E7B1D"/>
    <w:rsid w:val="009F2CBD"/>
    <w:rsid w:val="009F6B4A"/>
    <w:rsid w:val="009F7C6A"/>
    <w:rsid w:val="00A00E4B"/>
    <w:rsid w:val="00A00FB9"/>
    <w:rsid w:val="00A024AF"/>
    <w:rsid w:val="00A033DD"/>
    <w:rsid w:val="00A13C23"/>
    <w:rsid w:val="00A140B3"/>
    <w:rsid w:val="00A1522F"/>
    <w:rsid w:val="00A15DD7"/>
    <w:rsid w:val="00A17A71"/>
    <w:rsid w:val="00A17B5B"/>
    <w:rsid w:val="00A2123F"/>
    <w:rsid w:val="00A23D07"/>
    <w:rsid w:val="00A25456"/>
    <w:rsid w:val="00A25612"/>
    <w:rsid w:val="00A25DBE"/>
    <w:rsid w:val="00A304D8"/>
    <w:rsid w:val="00A33FB2"/>
    <w:rsid w:val="00A3524E"/>
    <w:rsid w:val="00A3605D"/>
    <w:rsid w:val="00A368C6"/>
    <w:rsid w:val="00A37B61"/>
    <w:rsid w:val="00A37EFD"/>
    <w:rsid w:val="00A40463"/>
    <w:rsid w:val="00A40D35"/>
    <w:rsid w:val="00A40DC9"/>
    <w:rsid w:val="00A41191"/>
    <w:rsid w:val="00A445B8"/>
    <w:rsid w:val="00A45456"/>
    <w:rsid w:val="00A47AE2"/>
    <w:rsid w:val="00A50A5F"/>
    <w:rsid w:val="00A5294B"/>
    <w:rsid w:val="00A52BFD"/>
    <w:rsid w:val="00A53144"/>
    <w:rsid w:val="00A5390B"/>
    <w:rsid w:val="00A564A6"/>
    <w:rsid w:val="00A6022C"/>
    <w:rsid w:val="00A62E4D"/>
    <w:rsid w:val="00A657B6"/>
    <w:rsid w:val="00A6585B"/>
    <w:rsid w:val="00A6603B"/>
    <w:rsid w:val="00A665EA"/>
    <w:rsid w:val="00A75190"/>
    <w:rsid w:val="00A803A5"/>
    <w:rsid w:val="00A80423"/>
    <w:rsid w:val="00A82A3F"/>
    <w:rsid w:val="00A843B5"/>
    <w:rsid w:val="00A84EFB"/>
    <w:rsid w:val="00A8589F"/>
    <w:rsid w:val="00A910CC"/>
    <w:rsid w:val="00A972EE"/>
    <w:rsid w:val="00A97890"/>
    <w:rsid w:val="00AA1601"/>
    <w:rsid w:val="00AA778C"/>
    <w:rsid w:val="00AA7B1C"/>
    <w:rsid w:val="00AB011B"/>
    <w:rsid w:val="00AB1C83"/>
    <w:rsid w:val="00AB414E"/>
    <w:rsid w:val="00AB4A3C"/>
    <w:rsid w:val="00AB5C4E"/>
    <w:rsid w:val="00AB5D80"/>
    <w:rsid w:val="00AC0E71"/>
    <w:rsid w:val="00AD6AD1"/>
    <w:rsid w:val="00AE127C"/>
    <w:rsid w:val="00AE4488"/>
    <w:rsid w:val="00AE4672"/>
    <w:rsid w:val="00AE56CE"/>
    <w:rsid w:val="00AE7DE4"/>
    <w:rsid w:val="00B00C84"/>
    <w:rsid w:val="00B037DB"/>
    <w:rsid w:val="00B06B75"/>
    <w:rsid w:val="00B17B00"/>
    <w:rsid w:val="00B2013D"/>
    <w:rsid w:val="00B218E6"/>
    <w:rsid w:val="00B3065E"/>
    <w:rsid w:val="00B31BD3"/>
    <w:rsid w:val="00B34382"/>
    <w:rsid w:val="00B34AB4"/>
    <w:rsid w:val="00B4452F"/>
    <w:rsid w:val="00B46F7C"/>
    <w:rsid w:val="00B522E7"/>
    <w:rsid w:val="00B5607C"/>
    <w:rsid w:val="00B57E16"/>
    <w:rsid w:val="00B655A1"/>
    <w:rsid w:val="00B6776B"/>
    <w:rsid w:val="00B67F4E"/>
    <w:rsid w:val="00B7008C"/>
    <w:rsid w:val="00B701AD"/>
    <w:rsid w:val="00B7056E"/>
    <w:rsid w:val="00B71BC3"/>
    <w:rsid w:val="00B75BC8"/>
    <w:rsid w:val="00B77D5F"/>
    <w:rsid w:val="00B8333A"/>
    <w:rsid w:val="00B8391B"/>
    <w:rsid w:val="00B867F6"/>
    <w:rsid w:val="00B9034B"/>
    <w:rsid w:val="00B90596"/>
    <w:rsid w:val="00B94EF1"/>
    <w:rsid w:val="00B966F9"/>
    <w:rsid w:val="00B96D9E"/>
    <w:rsid w:val="00BA06A5"/>
    <w:rsid w:val="00BA1ADB"/>
    <w:rsid w:val="00BA557F"/>
    <w:rsid w:val="00BB1CE7"/>
    <w:rsid w:val="00BB3D45"/>
    <w:rsid w:val="00BB5ECF"/>
    <w:rsid w:val="00BB67BB"/>
    <w:rsid w:val="00BC065D"/>
    <w:rsid w:val="00BC17F4"/>
    <w:rsid w:val="00BC288B"/>
    <w:rsid w:val="00BC5361"/>
    <w:rsid w:val="00BC74AE"/>
    <w:rsid w:val="00BC7909"/>
    <w:rsid w:val="00BD240F"/>
    <w:rsid w:val="00BD5CFF"/>
    <w:rsid w:val="00BE04F1"/>
    <w:rsid w:val="00BE0724"/>
    <w:rsid w:val="00BE6248"/>
    <w:rsid w:val="00BF1A92"/>
    <w:rsid w:val="00BF3A0A"/>
    <w:rsid w:val="00BF4105"/>
    <w:rsid w:val="00BF4681"/>
    <w:rsid w:val="00BF468B"/>
    <w:rsid w:val="00C00D43"/>
    <w:rsid w:val="00C01D08"/>
    <w:rsid w:val="00C0263E"/>
    <w:rsid w:val="00C02DCE"/>
    <w:rsid w:val="00C14930"/>
    <w:rsid w:val="00C21F7A"/>
    <w:rsid w:val="00C245BD"/>
    <w:rsid w:val="00C2487D"/>
    <w:rsid w:val="00C25BB6"/>
    <w:rsid w:val="00C27120"/>
    <w:rsid w:val="00C2729D"/>
    <w:rsid w:val="00C30BC3"/>
    <w:rsid w:val="00C3247F"/>
    <w:rsid w:val="00C32A7A"/>
    <w:rsid w:val="00C409B6"/>
    <w:rsid w:val="00C4219C"/>
    <w:rsid w:val="00C427FB"/>
    <w:rsid w:val="00C47DE8"/>
    <w:rsid w:val="00C50D21"/>
    <w:rsid w:val="00C51645"/>
    <w:rsid w:val="00C52652"/>
    <w:rsid w:val="00C532C1"/>
    <w:rsid w:val="00C5655C"/>
    <w:rsid w:val="00C579A0"/>
    <w:rsid w:val="00C679D2"/>
    <w:rsid w:val="00C7084F"/>
    <w:rsid w:val="00C71639"/>
    <w:rsid w:val="00C72A6B"/>
    <w:rsid w:val="00C74289"/>
    <w:rsid w:val="00C7466D"/>
    <w:rsid w:val="00C75CB8"/>
    <w:rsid w:val="00C75DA7"/>
    <w:rsid w:val="00C84A9C"/>
    <w:rsid w:val="00C84DF5"/>
    <w:rsid w:val="00C8609A"/>
    <w:rsid w:val="00C901D6"/>
    <w:rsid w:val="00C9137C"/>
    <w:rsid w:val="00C915C3"/>
    <w:rsid w:val="00C940C4"/>
    <w:rsid w:val="00C954C0"/>
    <w:rsid w:val="00C9791E"/>
    <w:rsid w:val="00CA05F6"/>
    <w:rsid w:val="00CA2A6A"/>
    <w:rsid w:val="00CA3271"/>
    <w:rsid w:val="00CA57E7"/>
    <w:rsid w:val="00CB2C66"/>
    <w:rsid w:val="00CB3780"/>
    <w:rsid w:val="00CB3BDC"/>
    <w:rsid w:val="00CB3E06"/>
    <w:rsid w:val="00CB4084"/>
    <w:rsid w:val="00CB7423"/>
    <w:rsid w:val="00CC0409"/>
    <w:rsid w:val="00CC1652"/>
    <w:rsid w:val="00CC1F0E"/>
    <w:rsid w:val="00CC38DB"/>
    <w:rsid w:val="00CC4E85"/>
    <w:rsid w:val="00CC5432"/>
    <w:rsid w:val="00CC706A"/>
    <w:rsid w:val="00CD2716"/>
    <w:rsid w:val="00CD3E12"/>
    <w:rsid w:val="00CD715E"/>
    <w:rsid w:val="00CD78B2"/>
    <w:rsid w:val="00CE014A"/>
    <w:rsid w:val="00CE3838"/>
    <w:rsid w:val="00CE5AEF"/>
    <w:rsid w:val="00CE69E1"/>
    <w:rsid w:val="00CE740A"/>
    <w:rsid w:val="00CE7C14"/>
    <w:rsid w:val="00CF46D4"/>
    <w:rsid w:val="00CF5BB6"/>
    <w:rsid w:val="00CF62FF"/>
    <w:rsid w:val="00D04A8A"/>
    <w:rsid w:val="00D0517C"/>
    <w:rsid w:val="00D0607F"/>
    <w:rsid w:val="00D064F3"/>
    <w:rsid w:val="00D11BF4"/>
    <w:rsid w:val="00D12031"/>
    <w:rsid w:val="00D130A9"/>
    <w:rsid w:val="00D14827"/>
    <w:rsid w:val="00D14CF7"/>
    <w:rsid w:val="00D16098"/>
    <w:rsid w:val="00D17979"/>
    <w:rsid w:val="00D17BAF"/>
    <w:rsid w:val="00D23A6B"/>
    <w:rsid w:val="00D25D87"/>
    <w:rsid w:val="00D2635E"/>
    <w:rsid w:val="00D269A2"/>
    <w:rsid w:val="00D3309F"/>
    <w:rsid w:val="00D3734E"/>
    <w:rsid w:val="00D378F7"/>
    <w:rsid w:val="00D45E31"/>
    <w:rsid w:val="00D507AD"/>
    <w:rsid w:val="00D521D4"/>
    <w:rsid w:val="00D52C4D"/>
    <w:rsid w:val="00D53D82"/>
    <w:rsid w:val="00D54CEA"/>
    <w:rsid w:val="00D5640A"/>
    <w:rsid w:val="00D605F8"/>
    <w:rsid w:val="00D6264C"/>
    <w:rsid w:val="00D63BFF"/>
    <w:rsid w:val="00D66347"/>
    <w:rsid w:val="00D66422"/>
    <w:rsid w:val="00D67943"/>
    <w:rsid w:val="00D71985"/>
    <w:rsid w:val="00D72B90"/>
    <w:rsid w:val="00D80682"/>
    <w:rsid w:val="00D847B3"/>
    <w:rsid w:val="00D85FD3"/>
    <w:rsid w:val="00D863B0"/>
    <w:rsid w:val="00D86991"/>
    <w:rsid w:val="00D902E8"/>
    <w:rsid w:val="00D93DD7"/>
    <w:rsid w:val="00D93EED"/>
    <w:rsid w:val="00D944E1"/>
    <w:rsid w:val="00D96455"/>
    <w:rsid w:val="00DA2E05"/>
    <w:rsid w:val="00DA4BC6"/>
    <w:rsid w:val="00DA4DD1"/>
    <w:rsid w:val="00DA6CE7"/>
    <w:rsid w:val="00DA710B"/>
    <w:rsid w:val="00DB01D5"/>
    <w:rsid w:val="00DB1686"/>
    <w:rsid w:val="00DB2E64"/>
    <w:rsid w:val="00DB2FF5"/>
    <w:rsid w:val="00DB6B2F"/>
    <w:rsid w:val="00DD1DF9"/>
    <w:rsid w:val="00DD5DB0"/>
    <w:rsid w:val="00DD6564"/>
    <w:rsid w:val="00DD79D9"/>
    <w:rsid w:val="00DE0677"/>
    <w:rsid w:val="00DE0CAF"/>
    <w:rsid w:val="00DE2A65"/>
    <w:rsid w:val="00DE3656"/>
    <w:rsid w:val="00DF0825"/>
    <w:rsid w:val="00DF52DE"/>
    <w:rsid w:val="00DF66AE"/>
    <w:rsid w:val="00E00B72"/>
    <w:rsid w:val="00E01ECA"/>
    <w:rsid w:val="00E021E8"/>
    <w:rsid w:val="00E0345B"/>
    <w:rsid w:val="00E1557B"/>
    <w:rsid w:val="00E22F95"/>
    <w:rsid w:val="00E269C1"/>
    <w:rsid w:val="00E27BBB"/>
    <w:rsid w:val="00E306ED"/>
    <w:rsid w:val="00E30B86"/>
    <w:rsid w:val="00E31A36"/>
    <w:rsid w:val="00E360B8"/>
    <w:rsid w:val="00E3730F"/>
    <w:rsid w:val="00E41C87"/>
    <w:rsid w:val="00E44314"/>
    <w:rsid w:val="00E446EF"/>
    <w:rsid w:val="00E50A44"/>
    <w:rsid w:val="00E53959"/>
    <w:rsid w:val="00E57067"/>
    <w:rsid w:val="00E57AB0"/>
    <w:rsid w:val="00E57DD9"/>
    <w:rsid w:val="00E60F41"/>
    <w:rsid w:val="00E72A8E"/>
    <w:rsid w:val="00E73F46"/>
    <w:rsid w:val="00E74BCB"/>
    <w:rsid w:val="00E80069"/>
    <w:rsid w:val="00E80B13"/>
    <w:rsid w:val="00E82A84"/>
    <w:rsid w:val="00E875E7"/>
    <w:rsid w:val="00E903C0"/>
    <w:rsid w:val="00E93196"/>
    <w:rsid w:val="00E93368"/>
    <w:rsid w:val="00E96196"/>
    <w:rsid w:val="00E97909"/>
    <w:rsid w:val="00EA131E"/>
    <w:rsid w:val="00EB0D17"/>
    <w:rsid w:val="00EB4D20"/>
    <w:rsid w:val="00EB5000"/>
    <w:rsid w:val="00EB7AFC"/>
    <w:rsid w:val="00EC03A7"/>
    <w:rsid w:val="00EC0569"/>
    <w:rsid w:val="00EC086A"/>
    <w:rsid w:val="00EC0BAA"/>
    <w:rsid w:val="00EC1496"/>
    <w:rsid w:val="00EC4587"/>
    <w:rsid w:val="00EC46B2"/>
    <w:rsid w:val="00EC46C9"/>
    <w:rsid w:val="00EC5970"/>
    <w:rsid w:val="00EC612D"/>
    <w:rsid w:val="00ED2358"/>
    <w:rsid w:val="00ED23F8"/>
    <w:rsid w:val="00ED4549"/>
    <w:rsid w:val="00EE07B2"/>
    <w:rsid w:val="00EE13D6"/>
    <w:rsid w:val="00EE310A"/>
    <w:rsid w:val="00EE6731"/>
    <w:rsid w:val="00EF0797"/>
    <w:rsid w:val="00EF0FD3"/>
    <w:rsid w:val="00EF1251"/>
    <w:rsid w:val="00EF7B16"/>
    <w:rsid w:val="00F02BBA"/>
    <w:rsid w:val="00F042B0"/>
    <w:rsid w:val="00F07788"/>
    <w:rsid w:val="00F1065D"/>
    <w:rsid w:val="00F1399A"/>
    <w:rsid w:val="00F14027"/>
    <w:rsid w:val="00F151BC"/>
    <w:rsid w:val="00F2063C"/>
    <w:rsid w:val="00F25B79"/>
    <w:rsid w:val="00F3122C"/>
    <w:rsid w:val="00F35497"/>
    <w:rsid w:val="00F36825"/>
    <w:rsid w:val="00F40266"/>
    <w:rsid w:val="00F41E76"/>
    <w:rsid w:val="00F458A1"/>
    <w:rsid w:val="00F5356C"/>
    <w:rsid w:val="00F5631C"/>
    <w:rsid w:val="00F57DD0"/>
    <w:rsid w:val="00F619C0"/>
    <w:rsid w:val="00F67585"/>
    <w:rsid w:val="00F72E14"/>
    <w:rsid w:val="00F743DB"/>
    <w:rsid w:val="00F8041B"/>
    <w:rsid w:val="00F80950"/>
    <w:rsid w:val="00F81FF7"/>
    <w:rsid w:val="00F827EF"/>
    <w:rsid w:val="00F92514"/>
    <w:rsid w:val="00F931BD"/>
    <w:rsid w:val="00F93966"/>
    <w:rsid w:val="00F952DA"/>
    <w:rsid w:val="00F9719B"/>
    <w:rsid w:val="00FA4B47"/>
    <w:rsid w:val="00FA5436"/>
    <w:rsid w:val="00FA54A2"/>
    <w:rsid w:val="00FA59AA"/>
    <w:rsid w:val="00FA6358"/>
    <w:rsid w:val="00FB42F7"/>
    <w:rsid w:val="00FB49C4"/>
    <w:rsid w:val="00FB5FE5"/>
    <w:rsid w:val="00FB6F10"/>
    <w:rsid w:val="00FC0209"/>
    <w:rsid w:val="00FC0353"/>
    <w:rsid w:val="00FC0E11"/>
    <w:rsid w:val="00FC0E44"/>
    <w:rsid w:val="00FC76B6"/>
    <w:rsid w:val="00FD006A"/>
    <w:rsid w:val="00FD30B6"/>
    <w:rsid w:val="00FD6867"/>
    <w:rsid w:val="00FE02C1"/>
    <w:rsid w:val="00FE230B"/>
    <w:rsid w:val="00FE233F"/>
    <w:rsid w:val="00FE2387"/>
    <w:rsid w:val="00FE23EB"/>
    <w:rsid w:val="00FE6E4D"/>
    <w:rsid w:val="00FE7C3C"/>
    <w:rsid w:val="00FF09B5"/>
    <w:rsid w:val="00FF3A34"/>
    <w:rsid w:val="00FF5539"/>
    <w:rsid w:val="00FF6A5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B5E12F"/>
  <w15:chartTrackingRefBased/>
  <w15:docId w15:val="{6F145B46-FB81-4ADB-835B-60893DBC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5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rsid w:val="00F67585"/>
    <w:pPr>
      <w:spacing w:after="160" w:line="240" w:lineRule="exact"/>
    </w:pPr>
    <w:rPr>
      <w:rFonts w:ascii="Verdana" w:hAnsi="Verdana" w:cs="Traditional Arabic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BA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52DF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C3229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DE365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eader">
    <w:name w:val="header"/>
    <w:basedOn w:val="Normal"/>
    <w:link w:val="HeaderChar"/>
    <w:uiPriority w:val="99"/>
    <w:unhideWhenUsed/>
    <w:rsid w:val="004B0E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0E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E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0EE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5294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60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60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435101862267211E-2"/>
          <c:y val="2.4144489357227971E-2"/>
          <c:w val="0.90837696335078533"/>
          <c:h val="0.79525337776650851"/>
        </c:manualLayout>
      </c:layout>
      <c:lineChart>
        <c:grouping val="standard"/>
        <c:varyColors val="0"/>
        <c:ser>
          <c:idx val="0"/>
          <c:order val="0"/>
          <c:tx>
            <c:strRef>
              <c:f>الرئيسيه!$D$2:$D$3</c:f>
              <c:strCache>
                <c:ptCount val="2"/>
                <c:pt idx="0">
                  <c:v>المستوردات</c:v>
                </c:pt>
                <c:pt idx="1">
                  <c:v>2024</c:v>
                </c:pt>
              </c:strCache>
            </c:strRef>
          </c:tx>
          <c:spPr>
            <a:ln w="31750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الرئيسيه!$C$4:$C$15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الرئيسيه!$D$4:$D$15</c:f>
              <c:numCache>
                <c:formatCode>#,##0</c:formatCode>
                <c:ptCount val="12"/>
                <c:pt idx="0">
                  <c:v>1318.1839</c:v>
                </c:pt>
                <c:pt idx="1">
                  <c:v>1522.2505000000001</c:v>
                </c:pt>
                <c:pt idx="2">
                  <c:v>1549</c:v>
                </c:pt>
                <c:pt idx="3">
                  <c:v>1428</c:v>
                </c:pt>
                <c:pt idx="4">
                  <c:v>1675</c:v>
                </c:pt>
                <c:pt idx="5">
                  <c:v>1391</c:v>
                </c:pt>
                <c:pt idx="6">
                  <c:v>1859</c:v>
                </c:pt>
                <c:pt idx="7">
                  <c:v>1715</c:v>
                </c:pt>
                <c:pt idx="8">
                  <c:v>1554</c:v>
                </c:pt>
                <c:pt idx="9">
                  <c:v>1653</c:v>
                </c:pt>
                <c:pt idx="10">
                  <c:v>1620</c:v>
                </c:pt>
                <c:pt idx="11">
                  <c:v>1826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271-455B-8FCC-343E754EA0A0}"/>
            </c:ext>
          </c:extLst>
        </c:ser>
        <c:ser>
          <c:idx val="1"/>
          <c:order val="1"/>
          <c:tx>
            <c:strRef>
              <c:f>الرئيسيه!$E$2:$E$3</c:f>
              <c:strCache>
                <c:ptCount val="2"/>
                <c:pt idx="0">
                  <c:v>المستوردات</c:v>
                </c:pt>
                <c:pt idx="1">
                  <c:v>2025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الرئيسيه!$C$4:$C$15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الرئيسيه!$E$4:$E$15</c:f>
              <c:numCache>
                <c:formatCode>#,##0</c:formatCode>
                <c:ptCount val="12"/>
                <c:pt idx="0">
                  <c:v>1623</c:v>
                </c:pt>
                <c:pt idx="1">
                  <c:v>1442</c:v>
                </c:pt>
                <c:pt idx="2">
                  <c:v>1614</c:v>
                </c:pt>
                <c:pt idx="3">
                  <c:v>1875</c:v>
                </c:pt>
                <c:pt idx="4">
                  <c:v>1581</c:v>
                </c:pt>
                <c:pt idx="5">
                  <c:v>1404</c:v>
                </c:pt>
                <c:pt idx="6">
                  <c:v>1780</c:v>
                </c:pt>
                <c:pt idx="7">
                  <c:v>1837</c:v>
                </c:pt>
                <c:pt idx="8">
                  <c:v>1830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271-455B-8FCC-343E754EA0A0}"/>
            </c:ext>
          </c:extLst>
        </c:ser>
        <c:ser>
          <c:idx val="2"/>
          <c:order val="2"/>
          <c:tx>
            <c:strRef>
              <c:f>الرئيسيه!$F$2:$F$3</c:f>
              <c:strCache>
                <c:ptCount val="2"/>
                <c:pt idx="0">
                  <c:v>الصادرات الكليه</c:v>
                </c:pt>
                <c:pt idx="1">
                  <c:v>2024</c:v>
                </c:pt>
              </c:strCache>
            </c:strRef>
          </c:tx>
          <c:spPr>
            <a:ln w="31750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الرئيسيه!$C$4:$C$15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الرئيسيه!$F$4:$F$15</c:f>
              <c:numCache>
                <c:formatCode>#,##0</c:formatCode>
                <c:ptCount val="12"/>
                <c:pt idx="0">
                  <c:v>694</c:v>
                </c:pt>
                <c:pt idx="1">
                  <c:v>633</c:v>
                </c:pt>
                <c:pt idx="2" formatCode="General">
                  <c:v>738</c:v>
                </c:pt>
                <c:pt idx="3" formatCode="General">
                  <c:v>681</c:v>
                </c:pt>
                <c:pt idx="4" formatCode="General">
                  <c:v>880</c:v>
                </c:pt>
                <c:pt idx="5" formatCode="General">
                  <c:v>815</c:v>
                </c:pt>
                <c:pt idx="6">
                  <c:v>923</c:v>
                </c:pt>
                <c:pt idx="7">
                  <c:v>862</c:v>
                </c:pt>
                <c:pt idx="8">
                  <c:v>837</c:v>
                </c:pt>
                <c:pt idx="9">
                  <c:v>812</c:v>
                </c:pt>
                <c:pt idx="10">
                  <c:v>743</c:v>
                </c:pt>
                <c:pt idx="11">
                  <c:v>814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F271-455B-8FCC-343E754EA0A0}"/>
            </c:ext>
          </c:extLst>
        </c:ser>
        <c:ser>
          <c:idx val="3"/>
          <c:order val="3"/>
          <c:tx>
            <c:strRef>
              <c:f>الرئيسيه!$G$2:$G$3</c:f>
              <c:strCache>
                <c:ptCount val="2"/>
                <c:pt idx="0">
                  <c:v>الصادرات الكليه</c:v>
                </c:pt>
                <c:pt idx="1">
                  <c:v>2025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الرئيسيه!$C$4:$C$15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الرئيسيه!$G$4:$G$15</c:f>
              <c:numCache>
                <c:formatCode>#,##0</c:formatCode>
                <c:ptCount val="12"/>
                <c:pt idx="0">
                  <c:v>703</c:v>
                </c:pt>
                <c:pt idx="1">
                  <c:v>747</c:v>
                </c:pt>
                <c:pt idx="2" formatCode="General">
                  <c:v>856</c:v>
                </c:pt>
                <c:pt idx="3" formatCode="General">
                  <c:v>732</c:v>
                </c:pt>
                <c:pt idx="4" formatCode="General">
                  <c:v>901</c:v>
                </c:pt>
                <c:pt idx="5" formatCode="General">
                  <c:v>872</c:v>
                </c:pt>
                <c:pt idx="6" formatCode="General">
                  <c:v>987</c:v>
                </c:pt>
                <c:pt idx="7" formatCode="General">
                  <c:v>912</c:v>
                </c:pt>
                <c:pt idx="8" formatCode="General">
                  <c:v>979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F271-455B-8FCC-343E754EA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4778832"/>
        <c:axId val="1"/>
      </c:lineChart>
      <c:catAx>
        <c:axId val="158477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tickMarkSkip val="3"/>
        <c:noMultiLvlLbl val="0"/>
      </c:catAx>
      <c:valAx>
        <c:axId val="1"/>
        <c:scaling>
          <c:orientation val="minMax"/>
          <c:min val="600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584778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96920384951881"/>
          <c:y val="0.17171296296296296"/>
          <c:w val="0.79975240594925645"/>
          <c:h val="0.570053951589384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الصادرات!$B$2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5B9BD5"/>
            </a:solidFill>
            <a:ln w="25365">
              <a:noFill/>
            </a:ln>
          </c:spPr>
          <c:invertIfNegative val="0"/>
          <c:dLbls>
            <c:spPr>
              <a:noFill/>
              <a:ln w="25365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الصادرات!$A$3:$A$9</c:f>
              <c:strCache>
                <c:ptCount val="5"/>
                <c:pt idx="0">
                  <c:v>USA</c:v>
                </c:pt>
                <c:pt idx="1">
                  <c:v>KSA</c:v>
                </c:pt>
                <c:pt idx="2">
                  <c:v>India</c:v>
                </c:pt>
                <c:pt idx="3">
                  <c:v>Iraq</c:v>
                </c:pt>
                <c:pt idx="4">
                  <c:v>Syria</c:v>
                </c:pt>
              </c:strCache>
            </c:strRef>
          </c:cat>
          <c:val>
            <c:numRef>
              <c:f>الصادرات!$B$3:$B$9</c:f>
              <c:numCache>
                <c:formatCode>#,##0</c:formatCode>
                <c:ptCount val="7"/>
                <c:pt idx="0">
                  <c:v>1456</c:v>
                </c:pt>
                <c:pt idx="1">
                  <c:v>766</c:v>
                </c:pt>
                <c:pt idx="2">
                  <c:v>966</c:v>
                </c:pt>
                <c:pt idx="3">
                  <c:v>433</c:v>
                </c:pt>
                <c:pt idx="4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6F-4B54-B588-3F6DD53888D4}"/>
            </c:ext>
          </c:extLst>
        </c:ser>
        <c:ser>
          <c:idx val="1"/>
          <c:order val="1"/>
          <c:tx>
            <c:strRef>
              <c:f>الصادرات!$C$2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C3300"/>
            </a:solidFill>
            <a:ln w="25365">
              <a:noFill/>
            </a:ln>
          </c:spPr>
          <c:invertIfNegative val="0"/>
          <c:dLbls>
            <c:spPr>
              <a:noFill/>
              <a:ln w="25365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الصادرات!$A$3:$A$9</c:f>
              <c:strCache>
                <c:ptCount val="5"/>
                <c:pt idx="0">
                  <c:v>USA</c:v>
                </c:pt>
                <c:pt idx="1">
                  <c:v>KSA</c:v>
                </c:pt>
                <c:pt idx="2">
                  <c:v>India</c:v>
                </c:pt>
                <c:pt idx="3">
                  <c:v>Iraq</c:v>
                </c:pt>
                <c:pt idx="4">
                  <c:v>Syria</c:v>
                </c:pt>
              </c:strCache>
            </c:strRef>
          </c:cat>
          <c:val>
            <c:numRef>
              <c:f>الصادرات!$C$3:$C$9</c:f>
              <c:numCache>
                <c:formatCode>#,##0</c:formatCode>
                <c:ptCount val="7"/>
                <c:pt idx="0">
                  <c:v>1712</c:v>
                </c:pt>
                <c:pt idx="1">
                  <c:v>851</c:v>
                </c:pt>
                <c:pt idx="2">
                  <c:v>675</c:v>
                </c:pt>
                <c:pt idx="3">
                  <c:v>660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6F-4B54-B588-3F6DD53888D4}"/>
            </c:ext>
          </c:extLst>
        </c:ser>
        <c:ser>
          <c:idx val="2"/>
          <c:order val="2"/>
          <c:tx>
            <c:strRef>
              <c:f>الصادرات!$D$2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A5A5A5"/>
            </a:solidFill>
            <a:ln w="25365">
              <a:noFill/>
            </a:ln>
          </c:spPr>
          <c:invertIfNegative val="0"/>
          <c:dLbls>
            <c:spPr>
              <a:noFill/>
              <a:ln w="25365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الصادرات!$A$3:$A$9</c:f>
              <c:strCache>
                <c:ptCount val="5"/>
                <c:pt idx="0">
                  <c:v>USA</c:v>
                </c:pt>
                <c:pt idx="1">
                  <c:v>KSA</c:v>
                </c:pt>
                <c:pt idx="2">
                  <c:v>India</c:v>
                </c:pt>
                <c:pt idx="3">
                  <c:v>Iraq</c:v>
                </c:pt>
                <c:pt idx="4">
                  <c:v>Syria</c:v>
                </c:pt>
              </c:strCache>
            </c:strRef>
          </c:cat>
          <c:val>
            <c:numRef>
              <c:f>الصادرات!$D$3:$D$9</c:f>
              <c:numCache>
                <c:formatCode>#,##0</c:formatCode>
                <c:ptCount val="7"/>
                <c:pt idx="0">
                  <c:v>1660</c:v>
                </c:pt>
                <c:pt idx="1">
                  <c:v>955</c:v>
                </c:pt>
                <c:pt idx="2">
                  <c:v>859</c:v>
                </c:pt>
                <c:pt idx="3">
                  <c:v>679</c:v>
                </c:pt>
                <c:pt idx="4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6F-4B54-B588-3F6DD5388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4490895"/>
        <c:axId val="1"/>
      </c:barChart>
      <c:catAx>
        <c:axId val="934490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2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Exports Value</a:t>
                </a:r>
                <a:endParaRPr lang="ar-JO"/>
              </a:p>
            </c:rich>
          </c:tx>
          <c:layout>
            <c:manualLayout>
              <c:xMode val="edge"/>
              <c:yMode val="edge"/>
              <c:x val="3.1897637795275588E-2"/>
              <c:y val="0.33762153924307847"/>
            </c:manualLayout>
          </c:layout>
          <c:overlay val="0"/>
          <c:spPr>
            <a:noFill/>
            <a:ln w="25365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934490895"/>
        <c:crosses val="autoZero"/>
        <c:crossBetween val="between"/>
      </c:valAx>
      <c:spPr>
        <a:noFill/>
        <a:ln w="25365">
          <a:noFill/>
        </a:ln>
      </c:spPr>
    </c:plotArea>
    <c:legend>
      <c:legendPos val="b"/>
      <c:overlay val="0"/>
      <c:spPr>
        <a:noFill/>
        <a:ln>
          <a:solidFill>
            <a:schemeClr val="tx1"/>
          </a:solidFill>
        </a:ln>
        <a:effectLst/>
      </c:spPr>
    </c:legend>
    <c:plotVisOnly val="1"/>
    <c:dispBlanksAs val="gap"/>
    <c:showDLblsOverMax val="0"/>
  </c:chart>
  <c:spPr>
    <a:solidFill>
      <a:schemeClr val="bg1"/>
    </a:solidFill>
    <a:ln w="951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96920384951881"/>
          <c:y val="4.6578158312735179E-2"/>
          <c:w val="0.79975240594925645"/>
          <c:h val="0.72539374325782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المستوردات!$B$2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5B9BD5"/>
            </a:solidFill>
            <a:ln w="25370">
              <a:noFill/>
            </a:ln>
          </c:spPr>
          <c:invertIfNegative val="0"/>
          <c:dLbls>
            <c:spPr>
              <a:noFill/>
              <a:ln w="25370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المستوردات!$A$3:$A$9</c:f>
              <c:strCache>
                <c:ptCount val="5"/>
                <c:pt idx="0">
                  <c:v>China</c:v>
                </c:pt>
                <c:pt idx="1">
                  <c:v>KSA</c:v>
                </c:pt>
                <c:pt idx="2">
                  <c:v>USA</c:v>
                </c:pt>
                <c:pt idx="3">
                  <c:v>Iraq</c:v>
                </c:pt>
                <c:pt idx="4">
                  <c:v>Syria</c:v>
                </c:pt>
              </c:strCache>
            </c:strRef>
          </c:cat>
          <c:val>
            <c:numRef>
              <c:f>المستوردات!$B$3:$B$9</c:f>
              <c:numCache>
                <c:formatCode>#,##0</c:formatCode>
                <c:ptCount val="7"/>
                <c:pt idx="0">
                  <c:v>2383</c:v>
                </c:pt>
                <c:pt idx="1">
                  <c:v>1984</c:v>
                </c:pt>
                <c:pt idx="2">
                  <c:v>917</c:v>
                </c:pt>
                <c:pt idx="3">
                  <c:v>139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E-4886-B87D-9ABB2674BE3E}"/>
            </c:ext>
          </c:extLst>
        </c:ser>
        <c:ser>
          <c:idx val="1"/>
          <c:order val="1"/>
          <c:tx>
            <c:strRef>
              <c:f>المستوردات!$C$2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C3300"/>
            </a:solidFill>
            <a:ln w="25370">
              <a:noFill/>
            </a:ln>
          </c:spPr>
          <c:invertIfNegative val="0"/>
          <c:dLbls>
            <c:spPr>
              <a:noFill/>
              <a:ln w="25370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المستوردات!$A$3:$A$9</c:f>
              <c:strCache>
                <c:ptCount val="5"/>
                <c:pt idx="0">
                  <c:v>China</c:v>
                </c:pt>
                <c:pt idx="1">
                  <c:v>KSA</c:v>
                </c:pt>
                <c:pt idx="2">
                  <c:v>USA</c:v>
                </c:pt>
                <c:pt idx="3">
                  <c:v>Iraq</c:v>
                </c:pt>
                <c:pt idx="4">
                  <c:v>Syria</c:v>
                </c:pt>
              </c:strCache>
            </c:strRef>
          </c:cat>
          <c:val>
            <c:numRef>
              <c:f>المستوردات!$C$3:$C$9</c:f>
              <c:numCache>
                <c:formatCode>#,##0</c:formatCode>
                <c:ptCount val="7"/>
                <c:pt idx="0">
                  <c:v>2663</c:v>
                </c:pt>
                <c:pt idx="1">
                  <c:v>2170</c:v>
                </c:pt>
                <c:pt idx="2">
                  <c:v>945</c:v>
                </c:pt>
                <c:pt idx="3">
                  <c:v>144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8E-4886-B87D-9ABB2674BE3E}"/>
            </c:ext>
          </c:extLst>
        </c:ser>
        <c:ser>
          <c:idx val="2"/>
          <c:order val="2"/>
          <c:tx>
            <c:strRef>
              <c:f>المستوردات!$D$2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A5A5A5"/>
            </a:solidFill>
            <a:ln w="25370">
              <a:noFill/>
            </a:ln>
          </c:spPr>
          <c:invertIfNegative val="0"/>
          <c:dLbls>
            <c:spPr>
              <a:noFill/>
              <a:ln w="25370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المستوردات!$A$3:$A$9</c:f>
              <c:strCache>
                <c:ptCount val="5"/>
                <c:pt idx="0">
                  <c:v>China</c:v>
                </c:pt>
                <c:pt idx="1">
                  <c:v>KSA</c:v>
                </c:pt>
                <c:pt idx="2">
                  <c:v>USA</c:v>
                </c:pt>
                <c:pt idx="3">
                  <c:v>Iraq</c:v>
                </c:pt>
                <c:pt idx="4">
                  <c:v>Syria</c:v>
                </c:pt>
              </c:strCache>
            </c:strRef>
          </c:cat>
          <c:val>
            <c:numRef>
              <c:f>المستوردات!$D$3:$D$9</c:f>
              <c:numCache>
                <c:formatCode>#,##0</c:formatCode>
                <c:ptCount val="7"/>
                <c:pt idx="0">
                  <c:v>2881</c:v>
                </c:pt>
                <c:pt idx="1">
                  <c:v>2216</c:v>
                </c:pt>
                <c:pt idx="2">
                  <c:v>1252</c:v>
                </c:pt>
                <c:pt idx="3">
                  <c:v>108</c:v>
                </c:pt>
                <c:pt idx="4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8E-4886-B87D-9ABB2674BE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1937376"/>
        <c:axId val="1"/>
      </c:barChart>
      <c:catAx>
        <c:axId val="197193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4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Imports Value</a:t>
                </a:r>
              </a:p>
            </c:rich>
          </c:tx>
          <c:layout>
            <c:manualLayout>
              <c:xMode val="edge"/>
              <c:yMode val="edge"/>
              <c:x val="2.9890949115231567E-2"/>
              <c:y val="0.34303755063403962"/>
            </c:manualLayout>
          </c:layout>
          <c:overlay val="0"/>
          <c:spPr>
            <a:noFill/>
            <a:ln w="2537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971937376"/>
        <c:crosses val="autoZero"/>
        <c:crossBetween val="between"/>
      </c:valAx>
      <c:spPr>
        <a:noFill/>
        <a:ln w="25370">
          <a:noFill/>
        </a:ln>
      </c:spPr>
    </c:plotArea>
    <c:legend>
      <c:legendPos val="b"/>
      <c:overlay val="0"/>
      <c:spPr>
        <a:noFill/>
        <a:ln>
          <a:solidFill>
            <a:schemeClr val="tx1"/>
          </a:solidFill>
        </a:ln>
        <a:effectLst/>
      </c:spPr>
    </c:legend>
    <c:plotVisOnly val="1"/>
    <c:dispBlanksAs val="gap"/>
    <c:showDLblsOverMax val="0"/>
  </c:chart>
  <c:spPr>
    <a:solidFill>
      <a:schemeClr val="bg1"/>
    </a:solidFill>
    <a:ln w="951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0.08694</cdr:x>
      <cdr:y>0.03512</cdr:y>
    </cdr:from>
    <cdr:to>
      <cdr:x>0.81039</cdr:x>
      <cdr:y>0.54465</cdr:y>
    </cdr:to>
    <cdr:grpSp>
      <cdr:nvGrpSpPr>
        <cdr:cNvPr id="15" name="Group 16"/>
        <cdr:cNvGrpSpPr>
          <a:grpSpLocks xmlns:a="http://schemas.openxmlformats.org/drawingml/2006/main"/>
        </cdr:cNvGrpSpPr>
      </cdr:nvGrpSpPr>
      <cdr:grpSpPr bwMode="auto">
        <a:xfrm xmlns:a="http://schemas.openxmlformats.org/drawingml/2006/main">
          <a:off x="543266" y="96679"/>
          <a:ext cx="4520396" cy="1402602"/>
          <a:chOff x="695085" y="-129590"/>
          <a:chExt cx="4232189" cy="1470125"/>
        </a:xfrm>
      </cdr:grpSpPr>
      <cdr:sp macro="" textlink="">
        <cdr:nvSpPr>
          <cdr:cNvPr id="4" name="TextBox 1"/>
          <cdr:cNvSpPr txBox="1"/>
        </cdr:nvSpPr>
        <cdr:spPr>
          <a:xfrm xmlns:a="http://schemas.openxmlformats.org/drawingml/2006/main" flipH="1">
            <a:off x="695085" y="241388"/>
            <a:ext cx="601070" cy="20840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ar-SA" sz="1200" b="1">
                <a:solidFill>
                  <a:schemeClr val="tx1"/>
                </a:solidFill>
              </a:rPr>
              <a:t>2025</a:t>
            </a:r>
            <a:endParaRPr lang="en-US" sz="1200" b="1">
              <a:solidFill>
                <a:schemeClr val="tx1"/>
              </a:solidFill>
            </a:endParaRPr>
          </a:p>
        </cdr:txBody>
      </cdr:sp>
      <cdr:sp macro="" textlink="">
        <cdr:nvSpPr>
          <cdr:cNvPr id="6" name="TextBox 1"/>
          <cdr:cNvSpPr txBox="1"/>
        </cdr:nvSpPr>
        <cdr:spPr>
          <a:xfrm xmlns:a="http://schemas.openxmlformats.org/drawingml/2006/main">
            <a:off x="3244297" y="-129590"/>
            <a:ext cx="953127" cy="308328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US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Imports</a:t>
            </a:r>
          </a:p>
        </cdr:txBody>
      </cdr:sp>
      <cdr:sp macro="" textlink="">
        <cdr:nvSpPr>
          <cdr:cNvPr id="7" name="TextBox 1"/>
          <cdr:cNvSpPr txBox="1"/>
        </cdr:nvSpPr>
        <cdr:spPr>
          <a:xfrm xmlns:a="http://schemas.openxmlformats.org/drawingml/2006/main">
            <a:off x="3733392" y="1089180"/>
            <a:ext cx="1193882" cy="251355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US" sz="1400" b="1"/>
              <a:t>Total</a:t>
            </a:r>
            <a:r>
              <a:rPr lang="en-US" sz="1400" b="1" baseline="0"/>
              <a:t> </a:t>
            </a:r>
            <a:r>
              <a:rPr lang="en-US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Exports</a:t>
            </a:r>
            <a:endParaRPr lang="en-US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dr:txBody>
      </cdr:sp>
    </cdr:grpSp>
  </cdr:relSizeAnchor>
  <cdr:relSizeAnchor xmlns:cdr="http://schemas.openxmlformats.org/drawingml/2006/chartDrawing">
    <cdr:from>
      <cdr:x>0.12908</cdr:x>
      <cdr:y>0.26447</cdr:y>
    </cdr:from>
    <cdr:to>
      <cdr:x>0.86128</cdr:x>
      <cdr:y>0.7403</cdr:y>
    </cdr:to>
    <cdr:grpSp>
      <cdr:nvGrpSpPr>
        <cdr:cNvPr id="16" name="Group 8"/>
        <cdr:cNvGrpSpPr>
          <a:grpSpLocks xmlns:a="http://schemas.openxmlformats.org/drawingml/2006/main"/>
        </cdr:cNvGrpSpPr>
      </cdr:nvGrpSpPr>
      <cdr:grpSpPr bwMode="auto">
        <a:xfrm xmlns:a="http://schemas.openxmlformats.org/drawingml/2006/main">
          <a:off x="806570" y="728004"/>
          <a:ext cx="4575057" cy="1309843"/>
          <a:chOff x="921437" y="540027"/>
          <a:chExt cx="4113768" cy="1383416"/>
        </a:xfrm>
      </cdr:grpSpPr>
      <cdr:sp macro="" textlink="">
        <cdr:nvSpPr>
          <cdr:cNvPr id="10" name="TextBox 1"/>
          <cdr:cNvSpPr txBox="1"/>
        </cdr:nvSpPr>
        <cdr:spPr>
          <a:xfrm xmlns:a="http://schemas.openxmlformats.org/drawingml/2006/main" flipH="1">
            <a:off x="4307990" y="540027"/>
            <a:ext cx="727215" cy="416823"/>
          </a:xfrm>
          <a:prstGeom xmlns:a="http://schemas.openxmlformats.org/drawingml/2006/main" prst="rect">
            <a:avLst/>
          </a:prstGeom>
          <a:ln xmlns:a="http://schemas.openxmlformats.org/drawingml/2006/main">
            <a:noFill/>
          </a:ln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ar-SA" sz="1200" b="1">
                <a:solidFill>
                  <a:schemeClr val="bg2">
                    <a:lumMod val="50000"/>
                  </a:schemeClr>
                </a:solidFill>
              </a:rPr>
              <a:t>2024</a:t>
            </a:r>
            <a:endParaRPr lang="en-US" sz="1200" b="1">
              <a:solidFill>
                <a:schemeClr val="bg2">
                  <a:lumMod val="50000"/>
                </a:schemeClr>
              </a:solidFill>
            </a:endParaRPr>
          </a:p>
        </cdr:txBody>
      </cdr:sp>
      <cdr:sp macro="" textlink="">
        <cdr:nvSpPr>
          <cdr:cNvPr id="11" name="TextBox 1"/>
          <cdr:cNvSpPr txBox="1"/>
        </cdr:nvSpPr>
        <cdr:spPr>
          <a:xfrm xmlns:a="http://schemas.openxmlformats.org/drawingml/2006/main" flipH="1">
            <a:off x="4288812" y="1548303"/>
            <a:ext cx="520357" cy="375140"/>
          </a:xfrm>
          <a:prstGeom xmlns:a="http://schemas.openxmlformats.org/drawingml/2006/main" prst="rect">
            <a:avLst/>
          </a:prstGeom>
          <a:ln xmlns:a="http://schemas.openxmlformats.org/drawingml/2006/main">
            <a:noFill/>
          </a:ln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ar-SA" sz="1200" b="1">
                <a:solidFill>
                  <a:schemeClr val="bg2">
                    <a:lumMod val="50000"/>
                  </a:schemeClr>
                </a:solidFill>
              </a:rPr>
              <a:t>2024</a:t>
            </a:r>
            <a:endParaRPr lang="en-US" sz="1200" b="1">
              <a:solidFill>
                <a:schemeClr val="bg2">
                  <a:lumMod val="50000"/>
                </a:schemeClr>
              </a:solidFill>
            </a:endParaRPr>
          </a:p>
        </cdr:txBody>
      </cdr:sp>
      <cdr:sp macro="" textlink="">
        <cdr:nvSpPr>
          <cdr:cNvPr id="13" name="TextBox 1"/>
          <cdr:cNvSpPr txBox="1"/>
        </cdr:nvSpPr>
        <cdr:spPr>
          <a:xfrm xmlns:a="http://schemas.openxmlformats.org/drawingml/2006/main">
            <a:off x="921437" y="1250917"/>
            <a:ext cx="487822" cy="200074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ar-SA" sz="1200" b="1">
                <a:solidFill>
                  <a:schemeClr val="tx1"/>
                </a:solidFill>
              </a:rPr>
              <a:t>2025</a:t>
            </a:r>
            <a:endParaRPr lang="en-US" sz="1200" b="1">
              <a:solidFill>
                <a:schemeClr val="tx1"/>
              </a:solidFill>
            </a:endParaRPr>
          </a:p>
        </cdr:txBody>
      </cdr: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9977-46F2-4617-9DB1-DECA4B87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Laith Khamiseh</dc:creator>
  <cp:keywords/>
  <cp:lastModifiedBy>Department of statistics / Jordan</cp:lastModifiedBy>
  <cp:revision>36</cp:revision>
  <cp:lastPrinted>2017-11-12T08:34:00Z</cp:lastPrinted>
  <dcterms:created xsi:type="dcterms:W3CDTF">2025-09-29T06:49:00Z</dcterms:created>
  <dcterms:modified xsi:type="dcterms:W3CDTF">2025-12-02T10:57:00Z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bffd706b66790af68276c13cb60e59acc4f5342578309be2b9deb42640600c93</vt:lpwstr>
  </property>
</Properties>
</file>