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39" w:rsidRDefault="003A3239" w:rsidP="003A3239">
      <w:pPr>
        <w:bidi w:val="0"/>
        <w:jc w:val="center"/>
        <w:rPr>
          <w:rFonts w:cstheme="minorHAnsi"/>
          <w:b/>
          <w:bCs/>
          <w:sz w:val="24"/>
          <w:szCs w:val="24"/>
          <w:lang w:bidi="ar-JO"/>
        </w:rPr>
      </w:pPr>
      <w:r w:rsidRPr="00C341F6">
        <w:rPr>
          <w:rFonts w:cstheme="minorHAnsi"/>
          <w:b/>
          <w:bCs/>
          <w:sz w:val="24"/>
          <w:szCs w:val="24"/>
          <w:lang w:bidi="ar-JO"/>
        </w:rPr>
        <w:t xml:space="preserve">Explanatory Document </w:t>
      </w:r>
      <w:r>
        <w:rPr>
          <w:rFonts w:cstheme="minorHAnsi"/>
          <w:b/>
          <w:bCs/>
          <w:sz w:val="24"/>
          <w:szCs w:val="24"/>
          <w:lang w:bidi="ar-JO"/>
        </w:rPr>
        <w:t>on</w:t>
      </w:r>
      <w:r w:rsidRPr="00C341F6">
        <w:rPr>
          <w:rFonts w:cstheme="minorHAnsi"/>
          <w:b/>
          <w:bCs/>
          <w:sz w:val="24"/>
          <w:szCs w:val="24"/>
          <w:lang w:bidi="ar-JO"/>
        </w:rPr>
        <w:t xml:space="preserve"> the Published Data</w:t>
      </w:r>
    </w:p>
    <w:tbl>
      <w:tblPr>
        <w:tblStyle w:val="TableGrid"/>
        <w:tblW w:w="0" w:type="auto"/>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7"/>
        <w:gridCol w:w="1559"/>
        <w:gridCol w:w="2199"/>
      </w:tblGrid>
      <w:tr w:rsidR="003A3239" w:rsidTr="003A3239">
        <w:trPr>
          <w:jc w:val="center"/>
        </w:trPr>
        <w:tc>
          <w:tcPr>
            <w:tcW w:w="6307" w:type="dxa"/>
            <w:hideMark/>
          </w:tcPr>
          <w:p w:rsidR="003A3239" w:rsidRDefault="003A3239" w:rsidP="00173783">
            <w:pPr>
              <w:bidi w:val="0"/>
              <w:rPr>
                <w:rFonts w:cstheme="minorHAnsi"/>
                <w:b/>
                <w:bCs/>
                <w:color w:val="4F81BD" w:themeColor="accent1"/>
                <w:lang w:bidi="ar-JO"/>
              </w:rPr>
            </w:pPr>
            <w:r>
              <w:rPr>
                <w:rFonts w:cstheme="minorHAnsi"/>
                <w:b/>
                <w:bCs/>
                <w:color w:val="4F81BD" w:themeColor="accent1"/>
                <w:lang w:bidi="ar-JO"/>
              </w:rPr>
              <w:t>Name (please insert survey name)</w:t>
            </w:r>
          </w:p>
          <w:p w:rsidR="003A3239" w:rsidRPr="00D157DF" w:rsidRDefault="003A3239" w:rsidP="003A3239">
            <w:pPr>
              <w:bidi w:val="0"/>
              <w:rPr>
                <w:b/>
                <w:bCs/>
                <w:color w:val="4F81BD" w:themeColor="accent1"/>
                <w:lang w:bidi="ar-JO"/>
              </w:rPr>
            </w:pPr>
            <w:r>
              <w:rPr>
                <w:rFonts w:eastAsia="Times New Roman" w:cstheme="minorHAnsi"/>
                <w:lang w:eastAsia="ar-SA" w:bidi="ar-JO"/>
              </w:rPr>
              <w:t xml:space="preserve"> </w:t>
            </w:r>
            <w:r>
              <w:rPr>
                <w:rFonts w:eastAsia="Times New Roman" w:cstheme="minorHAnsi"/>
                <w:b/>
                <w:bCs/>
                <w:sz w:val="24"/>
                <w:szCs w:val="24"/>
                <w:lang w:eastAsia="ar-SA" w:bidi="ar-JO"/>
              </w:rPr>
              <w:t xml:space="preserve">Economic Surveys – Transport, Storage and Mailing Survey </w:t>
            </w:r>
          </w:p>
        </w:tc>
        <w:tc>
          <w:tcPr>
            <w:tcW w:w="3758" w:type="dxa"/>
            <w:gridSpan w:val="2"/>
            <w:vMerge w:val="restart"/>
            <w:hideMark/>
          </w:tcPr>
          <w:p w:rsidR="003A3239" w:rsidRDefault="003A3239" w:rsidP="00173783">
            <w:pPr>
              <w:bidi w:val="0"/>
              <w:rPr>
                <w:rFonts w:cstheme="minorHAnsi"/>
                <w:color w:val="0070C0"/>
                <w:u w:val="single"/>
              </w:rPr>
            </w:pPr>
            <w:r>
              <w:rPr>
                <w:rFonts w:cstheme="minorHAnsi"/>
                <w:color w:val="0070C0"/>
                <w:u w:val="single"/>
              </w:rPr>
              <w:t xml:space="preserve">Content </w:t>
            </w:r>
          </w:p>
          <w:p w:rsidR="003A3239" w:rsidRDefault="003A3239" w:rsidP="00173783">
            <w:pPr>
              <w:bidi w:val="0"/>
              <w:rPr>
                <w:rFonts w:cstheme="minorHAnsi"/>
                <w:color w:val="0070C0"/>
                <w:u w:val="single"/>
              </w:rPr>
            </w:pPr>
            <w:r>
              <w:rPr>
                <w:rFonts w:cstheme="minorHAnsi"/>
                <w:color w:val="0070C0"/>
                <w:u w:val="single"/>
              </w:rPr>
              <w:t xml:space="preserve">Time </w:t>
            </w:r>
          </w:p>
          <w:p w:rsidR="003A3239" w:rsidRDefault="003A3239" w:rsidP="00173783">
            <w:pPr>
              <w:bidi w:val="0"/>
              <w:rPr>
                <w:rFonts w:cstheme="minorHAnsi"/>
                <w:color w:val="0070C0"/>
                <w:u w:val="single"/>
              </w:rPr>
            </w:pPr>
            <w:r>
              <w:rPr>
                <w:rFonts w:cstheme="minorHAnsi"/>
                <w:color w:val="0070C0"/>
                <w:u w:val="single"/>
              </w:rPr>
              <w:t xml:space="preserve">Accuracy </w:t>
            </w:r>
          </w:p>
          <w:p w:rsidR="003A3239" w:rsidRDefault="003A3239" w:rsidP="00173783">
            <w:pPr>
              <w:bidi w:val="0"/>
              <w:rPr>
                <w:rFonts w:cstheme="minorHAnsi"/>
                <w:color w:val="0070C0"/>
                <w:u w:val="single"/>
              </w:rPr>
            </w:pPr>
            <w:r>
              <w:rPr>
                <w:rFonts w:cstheme="minorHAnsi"/>
                <w:color w:val="0070C0"/>
                <w:u w:val="single"/>
              </w:rPr>
              <w:t xml:space="preserve">Comparability </w:t>
            </w:r>
          </w:p>
          <w:p w:rsidR="003A3239" w:rsidRDefault="003A3239" w:rsidP="00173783">
            <w:pPr>
              <w:bidi w:val="0"/>
              <w:rPr>
                <w:rFonts w:cstheme="minorHAnsi"/>
                <w:sz w:val="28"/>
                <w:szCs w:val="28"/>
                <w:lang w:bidi="ar-JO"/>
              </w:rPr>
            </w:pPr>
            <w:r>
              <w:rPr>
                <w:rFonts w:cstheme="minorHAnsi"/>
                <w:color w:val="0070C0"/>
                <w:u w:val="single"/>
              </w:rPr>
              <w:t>Data Accessibility</w:t>
            </w:r>
          </w:p>
        </w:tc>
      </w:tr>
      <w:tr w:rsidR="003A3239" w:rsidTr="003A3239">
        <w:trPr>
          <w:jc w:val="center"/>
        </w:trPr>
        <w:tc>
          <w:tcPr>
            <w:tcW w:w="6307" w:type="dxa"/>
          </w:tcPr>
          <w:p w:rsidR="003A3239" w:rsidRDefault="003A3239" w:rsidP="00173783">
            <w:pPr>
              <w:bidi w:val="0"/>
              <w:rPr>
                <w:rFonts w:cstheme="minorHAnsi"/>
                <w:b/>
                <w:bCs/>
                <w:lang w:bidi="ar-JO"/>
              </w:rPr>
            </w:pPr>
          </w:p>
        </w:tc>
        <w:tc>
          <w:tcPr>
            <w:tcW w:w="3758" w:type="dxa"/>
            <w:gridSpan w:val="2"/>
            <w:vMerge/>
            <w:vAlign w:val="center"/>
            <w:hideMark/>
          </w:tcPr>
          <w:p w:rsidR="003A3239" w:rsidRDefault="003A3239" w:rsidP="00173783">
            <w:pPr>
              <w:bidi w:val="0"/>
              <w:rPr>
                <w:rFonts w:cstheme="minorHAnsi"/>
                <w:sz w:val="28"/>
                <w:szCs w:val="28"/>
                <w:lang w:bidi="ar-JO"/>
              </w:rPr>
            </w:pPr>
          </w:p>
        </w:tc>
      </w:tr>
      <w:tr w:rsidR="003A3239" w:rsidTr="003A3239">
        <w:trPr>
          <w:jc w:val="center"/>
        </w:trPr>
        <w:tc>
          <w:tcPr>
            <w:tcW w:w="6307" w:type="dxa"/>
            <w:hideMark/>
          </w:tcPr>
          <w:p w:rsidR="003A3239" w:rsidRDefault="003A3239" w:rsidP="00173783">
            <w:pPr>
              <w:bidi w:val="0"/>
              <w:rPr>
                <w:rFonts w:cstheme="minorHAnsi"/>
                <w:b/>
                <w:bCs/>
                <w:color w:val="4F81BD" w:themeColor="accent1"/>
                <w:lang w:bidi="ar-JO"/>
              </w:rPr>
            </w:pPr>
            <w:r>
              <w:rPr>
                <w:rFonts w:cstheme="majorBidi"/>
                <w:b/>
                <w:bCs/>
                <w:color w:val="4F81BD" w:themeColor="accent1"/>
                <w:lang w:bidi="ar-JO"/>
              </w:rPr>
              <w:t xml:space="preserve">Sector: </w:t>
            </w:r>
          </w:p>
          <w:p w:rsidR="003A3239" w:rsidRDefault="003A3239" w:rsidP="00173783">
            <w:pPr>
              <w:bidi w:val="0"/>
              <w:rPr>
                <w:rFonts w:cstheme="minorHAnsi"/>
                <w:lang w:bidi="ar-JO"/>
              </w:rPr>
            </w:pPr>
            <w:r>
              <w:rPr>
                <w:rFonts w:cstheme="majorBidi"/>
                <w:lang w:bidi="ar-JO"/>
              </w:rPr>
              <w:t xml:space="preserve">Economic Surveys </w:t>
            </w:r>
            <w:r>
              <w:rPr>
                <w:rFonts w:cstheme="minorHAnsi"/>
                <w:lang w:bidi="ar-JO"/>
              </w:rPr>
              <w:t xml:space="preserve"> </w:t>
            </w:r>
          </w:p>
        </w:tc>
        <w:tc>
          <w:tcPr>
            <w:tcW w:w="3758" w:type="dxa"/>
            <w:gridSpan w:val="2"/>
            <w:vMerge/>
            <w:vAlign w:val="center"/>
            <w:hideMark/>
          </w:tcPr>
          <w:p w:rsidR="003A3239" w:rsidRDefault="003A3239" w:rsidP="00173783">
            <w:pPr>
              <w:bidi w:val="0"/>
              <w:rPr>
                <w:rFonts w:cstheme="minorHAnsi"/>
                <w:sz w:val="28"/>
                <w:szCs w:val="28"/>
                <w:lang w:bidi="ar-JO"/>
              </w:rPr>
            </w:pPr>
          </w:p>
        </w:tc>
      </w:tr>
      <w:tr w:rsidR="003A3239" w:rsidTr="003A3239">
        <w:trPr>
          <w:jc w:val="center"/>
        </w:trPr>
        <w:tc>
          <w:tcPr>
            <w:tcW w:w="6307" w:type="dxa"/>
          </w:tcPr>
          <w:p w:rsidR="003A3239" w:rsidRDefault="003A3239" w:rsidP="00173783">
            <w:pPr>
              <w:bidi w:val="0"/>
              <w:rPr>
                <w:rFonts w:cstheme="minorHAnsi"/>
                <w:b/>
                <w:bCs/>
                <w:lang w:bidi="ar-JO"/>
              </w:rPr>
            </w:pPr>
          </w:p>
        </w:tc>
        <w:tc>
          <w:tcPr>
            <w:tcW w:w="3758" w:type="dxa"/>
            <w:gridSpan w:val="2"/>
            <w:vMerge/>
            <w:vAlign w:val="center"/>
            <w:hideMark/>
          </w:tcPr>
          <w:p w:rsidR="003A3239" w:rsidRDefault="003A3239" w:rsidP="00173783">
            <w:pPr>
              <w:bidi w:val="0"/>
              <w:rPr>
                <w:rFonts w:cstheme="minorHAnsi"/>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Directorate and contact person </w:t>
            </w:r>
          </w:p>
          <w:p w:rsidR="003A3239" w:rsidRDefault="003A3239" w:rsidP="00844F36">
            <w:pPr>
              <w:bidi w:val="0"/>
              <w:rPr>
                <w:rFonts w:cstheme="minorHAnsi"/>
                <w:lang w:bidi="ar-JO"/>
              </w:rPr>
            </w:pPr>
            <w:r>
              <w:rPr>
                <w:rFonts w:cstheme="minorHAnsi"/>
                <w:lang w:bidi="ar-JO"/>
              </w:rPr>
              <w:t>Economic</w:t>
            </w:r>
            <w:r w:rsidRPr="009434EF">
              <w:rPr>
                <w:rFonts w:cstheme="minorHAnsi"/>
                <w:lang w:bidi="ar-JO"/>
              </w:rPr>
              <w:t xml:space="preserve"> S</w:t>
            </w:r>
            <w:r w:rsidR="00844F36">
              <w:rPr>
                <w:rFonts w:cstheme="minorHAnsi"/>
                <w:lang w:bidi="ar-JO"/>
              </w:rPr>
              <w:t>tatistics</w:t>
            </w:r>
            <w:r w:rsidRPr="009434EF">
              <w:rPr>
                <w:rFonts w:cstheme="minorHAnsi"/>
                <w:lang w:bidi="ar-JO"/>
              </w:rPr>
              <w:t xml:space="preserve"> Directorate</w:t>
            </w:r>
            <w:r>
              <w:rPr>
                <w:rFonts w:cstheme="minorHAnsi"/>
                <w:lang w:bidi="ar-JO"/>
              </w:rPr>
              <w:t xml:space="preserve">/Department of </w:t>
            </w:r>
            <w:r w:rsidRPr="003A3239">
              <w:rPr>
                <w:rFonts w:cstheme="minorHAnsi"/>
                <w:lang w:bidi="ar-JO"/>
              </w:rPr>
              <w:t>Transp</w:t>
            </w:r>
            <w:r>
              <w:rPr>
                <w:rFonts w:cstheme="minorHAnsi"/>
                <w:lang w:bidi="ar-JO"/>
              </w:rPr>
              <w:t>ort, Communications and Tourism</w:t>
            </w:r>
          </w:p>
          <w:p w:rsidR="003A3239" w:rsidRDefault="003A3239" w:rsidP="00844F36">
            <w:pPr>
              <w:bidi w:val="0"/>
              <w:rPr>
                <w:rFonts w:cstheme="minorHAnsi"/>
                <w:lang w:bidi="ar-JO"/>
              </w:rPr>
            </w:pPr>
            <w:r>
              <w:rPr>
                <w:rFonts w:cstheme="minorHAnsi"/>
                <w:lang w:bidi="ar-JO"/>
              </w:rPr>
              <w:t xml:space="preserve">Muhammad </w:t>
            </w:r>
            <w:r w:rsidR="00844F36">
              <w:rPr>
                <w:rFonts w:cstheme="minorHAnsi"/>
                <w:lang w:bidi="ar-JO"/>
              </w:rPr>
              <w:t>Khier Alomoush</w:t>
            </w:r>
            <w:r>
              <w:rPr>
                <w:rFonts w:cstheme="minorHAnsi"/>
                <w:lang w:bidi="ar-JO"/>
              </w:rPr>
              <w:t xml:space="preserve"> </w:t>
            </w:r>
          </w:p>
          <w:p w:rsidR="003A3239" w:rsidRDefault="003A3239" w:rsidP="003A3239">
            <w:pPr>
              <w:bidi w:val="0"/>
              <w:rPr>
                <w:rFonts w:cstheme="minorHAnsi"/>
                <w:lang w:bidi="ar-JO"/>
              </w:rPr>
            </w:pPr>
            <w:r>
              <w:rPr>
                <w:rFonts w:cstheme="minorHAnsi"/>
                <w:lang w:bidi="ar-JO"/>
              </w:rPr>
              <w:t xml:space="preserve">Tel: 5300700 – ext. 1315 </w:t>
            </w:r>
          </w:p>
          <w:p w:rsidR="003A3239" w:rsidRDefault="003A3239" w:rsidP="00844F36">
            <w:pPr>
              <w:bidi w:val="0"/>
              <w:rPr>
                <w:rFonts w:cstheme="minorHAnsi"/>
                <w:lang w:bidi="ar-JO"/>
              </w:rPr>
            </w:pPr>
            <w:r>
              <w:rPr>
                <w:rFonts w:cstheme="minorHAnsi"/>
                <w:lang w:bidi="ar-JO"/>
              </w:rPr>
              <w:t xml:space="preserve">Email address: </w:t>
            </w:r>
            <w:hyperlink r:id="rId6" w:history="1">
              <w:r w:rsidR="00844F36" w:rsidRPr="006F7615">
                <w:rPr>
                  <w:rStyle w:val="Hyperlink"/>
                </w:rPr>
                <w:t>emosh@dos.gov.jo</w:t>
              </w:r>
            </w:hyperlink>
            <w:r>
              <w:rPr>
                <w:rFonts w:cstheme="minorHAnsi"/>
                <w:lang w:bidi="ar-JO"/>
              </w:rPr>
              <w:t xml:space="preserve"> </w:t>
            </w:r>
          </w:p>
          <w:p w:rsidR="0077282B" w:rsidRDefault="0077282B" w:rsidP="0077282B">
            <w:pPr>
              <w:bidi w:val="0"/>
              <w:rPr>
                <w:rFonts w:cstheme="minorHAnsi"/>
                <w:lang w:bidi="ar-JO"/>
              </w:rPr>
            </w:pPr>
          </w:p>
        </w:tc>
      </w:tr>
      <w:tr w:rsidR="003A3239" w:rsidTr="003A3239">
        <w:trPr>
          <w:jc w:val="center"/>
        </w:trPr>
        <w:tc>
          <w:tcPr>
            <w:tcW w:w="6307" w:type="dxa"/>
          </w:tcPr>
          <w:p w:rsidR="003A3239" w:rsidRDefault="0077282B" w:rsidP="00173783">
            <w:pPr>
              <w:bidi w:val="0"/>
              <w:rPr>
                <w:rFonts w:cstheme="minorHAnsi"/>
                <w:b/>
                <w:bCs/>
                <w:sz w:val="28"/>
                <w:szCs w:val="28"/>
                <w:lang w:bidi="ar-JO"/>
              </w:rPr>
            </w:pPr>
            <w:r w:rsidRPr="0077282B">
              <w:rPr>
                <w:rFonts w:cstheme="minorHAnsi"/>
                <w:lang w:bidi="ar-JO"/>
              </w:rPr>
              <w:t>Mob</w:t>
            </w:r>
            <w:r>
              <w:rPr>
                <w:rFonts w:cstheme="minorHAnsi"/>
                <w:lang w:bidi="ar-JO"/>
              </w:rPr>
              <w:t xml:space="preserve"> : 0785196316</w:t>
            </w:r>
          </w:p>
        </w:tc>
        <w:tc>
          <w:tcPr>
            <w:tcW w:w="3758" w:type="dxa"/>
            <w:gridSpan w:val="2"/>
          </w:tcPr>
          <w:p w:rsidR="003A3239" w:rsidRDefault="003A3239" w:rsidP="00173783">
            <w:pPr>
              <w:bidi w:val="0"/>
              <w:rPr>
                <w:rFonts w:cstheme="minorHAnsi"/>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Purpose and historical reference </w:t>
            </w:r>
          </w:p>
          <w:p w:rsidR="003A3239" w:rsidRDefault="003A3239" w:rsidP="00173783">
            <w:pPr>
              <w:bidi w:val="0"/>
              <w:rPr>
                <w:b/>
                <w:bCs/>
                <w:color w:val="4F81BD" w:themeColor="accent1"/>
                <w:lang w:bidi="ar-JO"/>
              </w:rPr>
            </w:pPr>
            <w:r>
              <w:rPr>
                <w:b/>
                <w:bCs/>
                <w:color w:val="4F81BD" w:themeColor="accent1"/>
                <w:lang w:bidi="ar-JO"/>
              </w:rPr>
              <w:t xml:space="preserve">Purpose: </w:t>
            </w:r>
            <w:r>
              <w:rPr>
                <w:b/>
                <w:bCs/>
                <w:color w:val="4F81BD" w:themeColor="accent1"/>
                <w:rtl/>
                <w:lang w:bidi="ar-JO"/>
              </w:rPr>
              <w:t xml:space="preserve"> </w:t>
            </w:r>
          </w:p>
          <w:p w:rsidR="003A3239" w:rsidRDefault="003A3239" w:rsidP="00DB0874">
            <w:pPr>
              <w:bidi w:val="0"/>
              <w:spacing w:after="120" w:line="400" w:lineRule="atLeast"/>
              <w:jc w:val="both"/>
              <w:outlineLvl w:val="0"/>
              <w:rPr>
                <w:rFonts w:eastAsia="Arial Unicode MS" w:cstheme="minorHAnsi"/>
                <w:rtl/>
                <w:lang w:eastAsia="ar-SA"/>
              </w:rPr>
            </w:pPr>
            <w:r>
              <w:rPr>
                <w:rFonts w:eastAsia="Arial Unicode MS" w:cstheme="minorHAnsi"/>
                <w:lang w:eastAsia="ar-SA"/>
              </w:rPr>
              <w:t xml:space="preserve">The </w:t>
            </w:r>
            <w:r w:rsidR="00DB0874">
              <w:rPr>
                <w:rFonts w:eastAsia="Arial Unicode MS" w:cstheme="minorHAnsi"/>
                <w:lang w:eastAsia="ar-SA"/>
              </w:rPr>
              <w:t>transport, storage and mailing</w:t>
            </w:r>
            <w:r>
              <w:rPr>
                <w:rFonts w:eastAsia="Arial Unicode MS" w:cstheme="minorHAnsi"/>
                <w:lang w:eastAsia="ar-SA"/>
              </w:rPr>
              <w:t xml:space="preserve"> survey</w:t>
            </w:r>
            <w:r w:rsidR="00DB0874">
              <w:rPr>
                <w:rFonts w:eastAsia="Arial Unicode MS" w:cstheme="minorHAnsi"/>
                <w:lang w:eastAsia="ar-SA"/>
              </w:rPr>
              <w:t xml:space="preserve"> for organized and unorganized sectors </w:t>
            </w:r>
            <w:r>
              <w:rPr>
                <w:rFonts w:eastAsia="Arial Unicode MS" w:cstheme="minorHAnsi"/>
                <w:lang w:eastAsia="ar-SA"/>
              </w:rPr>
              <w:t xml:space="preserve"> aims to: </w:t>
            </w:r>
          </w:p>
          <w:p w:rsidR="003A3239" w:rsidRPr="00A7365C" w:rsidRDefault="003A3239" w:rsidP="00173783">
            <w:pPr>
              <w:pStyle w:val="ListParagraph"/>
              <w:numPr>
                <w:ilvl w:val="0"/>
                <w:numId w:val="1"/>
              </w:numPr>
              <w:bidi w:val="0"/>
              <w:spacing w:after="120" w:line="400" w:lineRule="atLeast"/>
              <w:jc w:val="both"/>
              <w:outlineLvl w:val="0"/>
              <w:rPr>
                <w:rFonts w:eastAsia="Arial Unicode MS" w:cstheme="minorHAnsi"/>
                <w:lang w:eastAsia="ar-SA"/>
              </w:rPr>
            </w:pPr>
            <w:r>
              <w:rPr>
                <w:rFonts w:eastAsia="Arial Unicode MS" w:cstheme="minorHAnsi"/>
                <w:lang w:eastAsia="ar-SA"/>
              </w:rPr>
              <w:t xml:space="preserve">Determining the number of establishments working in the </w:t>
            </w:r>
            <w:r w:rsidR="00DB0874">
              <w:rPr>
                <w:rFonts w:eastAsia="Arial Unicode MS" w:cstheme="minorHAnsi"/>
                <w:lang w:eastAsia="ar-SA"/>
              </w:rPr>
              <w:t xml:space="preserve">transport, storage and mailing </w:t>
            </w:r>
            <w:r>
              <w:rPr>
                <w:rFonts w:eastAsia="Arial Unicode MS" w:cstheme="minorHAnsi"/>
                <w:lang w:eastAsia="ar-SA"/>
              </w:rPr>
              <w:t xml:space="preserve">sector; </w:t>
            </w:r>
            <w:r w:rsidRPr="00A7365C">
              <w:rPr>
                <w:rFonts w:eastAsia="Arial Unicode MS" w:cstheme="minorHAnsi"/>
                <w:lang w:eastAsia="ar-SA"/>
              </w:rPr>
              <w:t xml:space="preserve"> </w:t>
            </w:r>
          </w:p>
          <w:p w:rsidR="003A3239" w:rsidRDefault="003A3239" w:rsidP="00DB0874">
            <w:pPr>
              <w:pStyle w:val="ListParagraph"/>
              <w:numPr>
                <w:ilvl w:val="0"/>
                <w:numId w:val="1"/>
              </w:numPr>
              <w:bidi w:val="0"/>
              <w:spacing w:after="120" w:line="400" w:lineRule="atLeast"/>
              <w:jc w:val="both"/>
              <w:outlineLvl w:val="0"/>
              <w:rPr>
                <w:rFonts w:eastAsia="Arial Unicode MS" w:cstheme="minorHAnsi"/>
                <w:lang w:eastAsia="ar-SA"/>
              </w:rPr>
            </w:pPr>
            <w:r>
              <w:rPr>
                <w:rFonts w:eastAsia="Arial Unicode MS" w:cstheme="minorHAnsi"/>
                <w:lang w:eastAsia="ar-SA"/>
              </w:rPr>
              <w:t xml:space="preserve">Determining the </w:t>
            </w:r>
            <w:r w:rsidR="00DB0874">
              <w:rPr>
                <w:rFonts w:eastAsia="Arial Unicode MS" w:cstheme="minorHAnsi"/>
                <w:lang w:eastAsia="ar-SA"/>
              </w:rPr>
              <w:t>number of public vehicles working in the unorganized sector;</w:t>
            </w:r>
          </w:p>
          <w:p w:rsidR="003A3239" w:rsidRDefault="00DB0874" w:rsidP="00173783">
            <w:pPr>
              <w:pStyle w:val="ListParagraph"/>
              <w:numPr>
                <w:ilvl w:val="0"/>
                <w:numId w:val="1"/>
              </w:numPr>
              <w:bidi w:val="0"/>
              <w:spacing w:after="120" w:line="400" w:lineRule="atLeast"/>
              <w:jc w:val="both"/>
              <w:outlineLvl w:val="0"/>
              <w:rPr>
                <w:rFonts w:eastAsia="Arial Unicode MS" w:cstheme="minorHAnsi"/>
                <w:lang w:eastAsia="ar-SA"/>
              </w:rPr>
            </w:pPr>
            <w:r>
              <w:rPr>
                <w:rFonts w:eastAsia="Arial Unicode MS" w:cstheme="minorHAnsi"/>
                <w:lang w:eastAsia="ar-SA"/>
              </w:rPr>
              <w:t>Estimating the remunerations of sector personnel such as salaries, wages, cash and in-kind benefits</w:t>
            </w:r>
            <w:r w:rsidR="003A3239">
              <w:rPr>
                <w:rFonts w:eastAsia="Arial Unicode MS" w:cstheme="minorHAnsi"/>
                <w:lang w:eastAsia="ar-SA"/>
              </w:rPr>
              <w:t xml:space="preserve">; </w:t>
            </w:r>
          </w:p>
          <w:p w:rsidR="003A3239" w:rsidRDefault="00DB0874" w:rsidP="00173783">
            <w:pPr>
              <w:pStyle w:val="ListParagraph"/>
              <w:numPr>
                <w:ilvl w:val="0"/>
                <w:numId w:val="1"/>
              </w:numPr>
              <w:bidi w:val="0"/>
              <w:spacing w:after="120" w:line="400" w:lineRule="atLeast"/>
              <w:jc w:val="both"/>
              <w:outlineLvl w:val="0"/>
              <w:rPr>
                <w:rFonts w:eastAsia="Arial Unicode MS" w:cstheme="minorHAnsi"/>
                <w:lang w:eastAsia="ar-SA"/>
              </w:rPr>
            </w:pPr>
            <w:r>
              <w:rPr>
                <w:rFonts w:eastAsia="Arial Unicode MS" w:cstheme="minorHAnsi"/>
                <w:lang w:eastAsia="ar-SA"/>
              </w:rPr>
              <w:t>Estimating the value of total productions and the goods and services median consumption</w:t>
            </w:r>
            <w:r w:rsidR="003A3239">
              <w:rPr>
                <w:rFonts w:eastAsia="Arial Unicode MS" w:cstheme="minorHAnsi"/>
                <w:lang w:eastAsia="ar-SA"/>
              </w:rPr>
              <w:t xml:space="preserve">; </w:t>
            </w:r>
          </w:p>
          <w:p w:rsidR="00DB0874" w:rsidRDefault="00DB0874" w:rsidP="00DB0874">
            <w:pPr>
              <w:pStyle w:val="ListParagraph"/>
              <w:numPr>
                <w:ilvl w:val="0"/>
                <w:numId w:val="1"/>
              </w:numPr>
              <w:bidi w:val="0"/>
              <w:spacing w:after="120" w:line="400" w:lineRule="atLeast"/>
              <w:jc w:val="both"/>
              <w:outlineLvl w:val="0"/>
              <w:rPr>
                <w:rFonts w:eastAsia="Arial Unicode MS" w:cstheme="minorHAnsi"/>
                <w:lang w:eastAsia="ar-SA"/>
              </w:rPr>
            </w:pPr>
            <w:r>
              <w:rPr>
                <w:rFonts w:eastAsia="Arial Unicode MS" w:cstheme="minorHAnsi"/>
                <w:lang w:eastAsia="ar-SA"/>
              </w:rPr>
              <w:t xml:space="preserve">Amount of the invested capital and capital formation during the year; </w:t>
            </w:r>
          </w:p>
          <w:p w:rsidR="00DB0874" w:rsidRDefault="000C2E86" w:rsidP="00DB0874">
            <w:pPr>
              <w:pStyle w:val="ListParagraph"/>
              <w:numPr>
                <w:ilvl w:val="0"/>
                <w:numId w:val="1"/>
              </w:numPr>
              <w:bidi w:val="0"/>
              <w:spacing w:after="120" w:line="400" w:lineRule="atLeast"/>
              <w:jc w:val="both"/>
              <w:outlineLvl w:val="0"/>
              <w:rPr>
                <w:rFonts w:eastAsia="Arial Unicode MS" w:cstheme="minorHAnsi"/>
                <w:lang w:eastAsia="ar-SA"/>
              </w:rPr>
            </w:pPr>
            <w:r>
              <w:rPr>
                <w:rFonts w:eastAsia="Arial Unicode MS" w:cstheme="minorHAnsi"/>
                <w:lang w:eastAsia="ar-SA"/>
              </w:rPr>
              <w:t>Estimating the contribution of the transport, storage and mailing sector in the GDP and the provision of data needed for the preparation of national accounts;</w:t>
            </w:r>
          </w:p>
          <w:p w:rsidR="003A3239" w:rsidRPr="006B22BB" w:rsidRDefault="003A3239" w:rsidP="000C2E86">
            <w:pPr>
              <w:bidi w:val="0"/>
              <w:spacing w:after="120" w:line="400" w:lineRule="atLeast"/>
              <w:jc w:val="both"/>
              <w:outlineLvl w:val="0"/>
              <w:rPr>
                <w:rFonts w:eastAsia="Arial Unicode MS" w:cstheme="minorHAnsi"/>
                <w:lang w:eastAsia="ar-SA"/>
              </w:rPr>
            </w:pPr>
            <w:r>
              <w:rPr>
                <w:rFonts w:eastAsia="Arial Unicode MS" w:cstheme="minorHAnsi"/>
                <w:lang w:eastAsia="ar-SA"/>
              </w:rPr>
              <w:t>Data published in this survey are comparable as they use sample</w:t>
            </w:r>
            <w:r w:rsidR="000C2E86">
              <w:rPr>
                <w:rFonts w:eastAsia="Arial Unicode MS" w:cstheme="minorHAnsi"/>
                <w:lang w:eastAsia="ar-SA"/>
              </w:rPr>
              <w:t xml:space="preserve"> method</w:t>
            </w:r>
            <w:r>
              <w:rPr>
                <w:rFonts w:eastAsia="Arial Unicode MS" w:cstheme="minorHAnsi"/>
                <w:lang w:eastAsia="ar-SA"/>
              </w:rPr>
              <w:t xml:space="preserve"> </w:t>
            </w:r>
            <w:r w:rsidR="000C2E86">
              <w:rPr>
                <w:rFonts w:eastAsia="Arial Unicode MS" w:cstheme="minorHAnsi"/>
                <w:lang w:eastAsia="ar-SA"/>
              </w:rPr>
              <w:t>for most of the activities and overall survey method for some activities</w:t>
            </w:r>
            <w:r>
              <w:rPr>
                <w:rFonts w:eastAsia="Arial Unicode MS" w:cstheme="minorHAnsi"/>
                <w:lang w:eastAsia="ar-SA"/>
              </w:rPr>
              <w:t xml:space="preserve">. </w:t>
            </w:r>
          </w:p>
        </w:tc>
      </w:tr>
      <w:tr w:rsidR="003A3239" w:rsidTr="00173783">
        <w:trPr>
          <w:trHeight w:val="657"/>
          <w:jc w:val="center"/>
        </w:trPr>
        <w:tc>
          <w:tcPr>
            <w:tcW w:w="7866" w:type="dxa"/>
            <w:gridSpan w:val="2"/>
            <w:hideMark/>
          </w:tcPr>
          <w:p w:rsidR="003A3239" w:rsidRDefault="003A3239" w:rsidP="00173783">
            <w:pPr>
              <w:bidi w:val="0"/>
              <w:rPr>
                <w:b/>
                <w:bCs/>
                <w:color w:val="4F81BD" w:themeColor="accent1"/>
                <w:lang w:bidi="ar-JO"/>
              </w:rPr>
            </w:pPr>
            <w:r>
              <w:rPr>
                <w:b/>
                <w:bCs/>
                <w:color w:val="4F81BD" w:themeColor="accent1"/>
                <w:lang w:bidi="ar-JO"/>
              </w:rPr>
              <w:t xml:space="preserve">Historical reference (please indicate the year the  survey started) </w:t>
            </w:r>
          </w:p>
          <w:p w:rsidR="003A3239" w:rsidRPr="00CC6218" w:rsidRDefault="00CC6218" w:rsidP="00844F36">
            <w:pPr>
              <w:bidi w:val="0"/>
              <w:rPr>
                <w:rFonts w:cstheme="minorHAnsi"/>
                <w:sz w:val="24"/>
                <w:szCs w:val="24"/>
                <w:lang w:bidi="ar-JO"/>
              </w:rPr>
            </w:pPr>
            <w:r w:rsidRPr="00CC6218">
              <w:rPr>
                <w:rFonts w:cstheme="minorHAnsi" w:hint="cs"/>
                <w:sz w:val="24"/>
                <w:szCs w:val="24"/>
                <w:rtl/>
                <w:lang w:bidi="ar-JO"/>
              </w:rPr>
              <w:t>1992</w:t>
            </w:r>
          </w:p>
        </w:tc>
        <w:tc>
          <w:tcPr>
            <w:tcW w:w="2199" w:type="dxa"/>
          </w:tcPr>
          <w:p w:rsidR="003A3239" w:rsidRDefault="003A3239" w:rsidP="00173783">
            <w:pPr>
              <w:bidi w:val="0"/>
              <w:rPr>
                <w:rFonts w:cstheme="minorHAnsi"/>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Users and Applications: </w:t>
            </w:r>
            <w:r>
              <w:rPr>
                <w:b/>
                <w:bCs/>
                <w:color w:val="4F81BD" w:themeColor="accent1"/>
                <w:rtl/>
                <w:lang w:bidi="ar-JO"/>
              </w:rPr>
              <w:t xml:space="preserve"> </w:t>
            </w:r>
          </w:p>
          <w:p w:rsidR="003A3239" w:rsidRDefault="003A3239" w:rsidP="00E20E9D">
            <w:pPr>
              <w:bidi w:val="0"/>
              <w:rPr>
                <w:sz w:val="24"/>
                <w:szCs w:val="24"/>
                <w:lang w:bidi="ar-JO"/>
              </w:rPr>
            </w:pPr>
            <w:r>
              <w:rPr>
                <w:rFonts w:hint="cs"/>
                <w:lang w:bidi="ar-JO"/>
              </w:rPr>
              <w:t xml:space="preserve"> </w:t>
            </w:r>
            <w:r>
              <w:rPr>
                <w:sz w:val="24"/>
                <w:szCs w:val="24"/>
                <w:lang w:bidi="ar-JO"/>
              </w:rPr>
              <w:t xml:space="preserve">Users: </w:t>
            </w:r>
            <w:r w:rsidRPr="004A0508">
              <w:rPr>
                <w:sz w:val="24"/>
                <w:szCs w:val="24"/>
                <w:lang w:bidi="ar-JO"/>
              </w:rPr>
              <w:t>National Accounts Directorate</w:t>
            </w:r>
            <w:r>
              <w:rPr>
                <w:sz w:val="24"/>
                <w:szCs w:val="24"/>
                <w:lang w:bidi="ar-JO"/>
              </w:rPr>
              <w:t xml:space="preserve">, relevant government institutions, planners and policy-makers, economic research centers and </w:t>
            </w:r>
            <w:r w:rsidR="00E20E9D">
              <w:rPr>
                <w:sz w:val="24"/>
                <w:szCs w:val="24"/>
                <w:lang w:bidi="ar-JO"/>
              </w:rPr>
              <w:t>concerned parties</w:t>
            </w:r>
            <w:r>
              <w:rPr>
                <w:sz w:val="24"/>
                <w:szCs w:val="24"/>
                <w:lang w:bidi="ar-JO"/>
              </w:rPr>
              <w:t xml:space="preserve">. </w:t>
            </w:r>
          </w:p>
          <w:p w:rsidR="003A3239" w:rsidRDefault="003A3239" w:rsidP="00173783">
            <w:pPr>
              <w:bidi w:val="0"/>
              <w:rPr>
                <w:rFonts w:cstheme="minorHAnsi"/>
                <w:lang w:bidi="ar-JO"/>
              </w:rPr>
            </w:pPr>
            <w:r>
              <w:rPr>
                <w:rFonts w:cstheme="minorHAnsi"/>
                <w:lang w:bidi="ar-JO"/>
              </w:rPr>
              <w:t>Applications:</w:t>
            </w:r>
            <w:bookmarkStart w:id="0" w:name="_GoBack"/>
            <w:bookmarkEnd w:id="0"/>
            <w:r>
              <w:rPr>
                <w:rFonts w:cstheme="minorHAnsi"/>
                <w:lang w:bidi="ar-JO"/>
              </w:rPr>
              <w:t xml:space="preserve"> construction and formation of the national accounts and national economy, and the detailed studies of different economic sectors. </w:t>
            </w:r>
          </w:p>
          <w:p w:rsidR="003A3239" w:rsidRPr="00E47EBF" w:rsidRDefault="003A3239" w:rsidP="00173783">
            <w:pPr>
              <w:bidi w:val="0"/>
              <w:rPr>
                <w:rFonts w:cstheme="minorHAnsi"/>
                <w:lang w:bidi="ar-JO"/>
              </w:rPr>
            </w:pPr>
          </w:p>
        </w:tc>
      </w:tr>
      <w:tr w:rsidR="003A3239" w:rsidTr="00173783">
        <w:trPr>
          <w:jc w:val="center"/>
        </w:trPr>
        <w:tc>
          <w:tcPr>
            <w:tcW w:w="10065" w:type="dxa"/>
            <w:gridSpan w:val="3"/>
          </w:tcPr>
          <w:p w:rsidR="003A3239" w:rsidRDefault="003A3239" w:rsidP="00173783">
            <w:pPr>
              <w:bidi w:val="0"/>
              <w:rPr>
                <w:rFonts w:cstheme="minorHAnsi"/>
                <w:b/>
                <w:bCs/>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Source (please write all data resources)</w:t>
            </w:r>
          </w:p>
          <w:p w:rsidR="003A3239" w:rsidRDefault="003A3239" w:rsidP="00173783">
            <w:pPr>
              <w:bidi w:val="0"/>
              <w:rPr>
                <w:rFonts w:cstheme="minorHAnsi"/>
                <w:sz w:val="28"/>
                <w:szCs w:val="28"/>
                <w:lang w:bidi="ar-JO"/>
              </w:rPr>
            </w:pPr>
            <w:r>
              <w:rPr>
                <w:lang w:bidi="ar-JO"/>
              </w:rPr>
              <w:t xml:space="preserve">Data is collected annually by means of </w:t>
            </w:r>
            <w:r w:rsidR="00E20E9D">
              <w:rPr>
                <w:lang w:bidi="ar-JO"/>
              </w:rPr>
              <w:t xml:space="preserve">annual surveys for the operating establishments of the organized transport sector and by means of quarterly surveys for the public vehicles working in the field of land transportation of passengers and goods in the unorganized sector. </w:t>
            </w:r>
          </w:p>
        </w:tc>
      </w:tr>
      <w:tr w:rsidR="003A3239" w:rsidTr="003A3239">
        <w:trPr>
          <w:jc w:val="center"/>
        </w:trPr>
        <w:tc>
          <w:tcPr>
            <w:tcW w:w="6307" w:type="dxa"/>
          </w:tcPr>
          <w:p w:rsidR="003A3239" w:rsidRDefault="003A3239" w:rsidP="00173783">
            <w:pPr>
              <w:bidi w:val="0"/>
              <w:rPr>
                <w:rFonts w:cstheme="minorHAnsi"/>
                <w:b/>
                <w:bCs/>
                <w:sz w:val="28"/>
                <w:szCs w:val="28"/>
                <w:lang w:bidi="ar-JO"/>
              </w:rPr>
            </w:pPr>
          </w:p>
        </w:tc>
        <w:tc>
          <w:tcPr>
            <w:tcW w:w="3758" w:type="dxa"/>
            <w:gridSpan w:val="2"/>
          </w:tcPr>
          <w:p w:rsidR="003A3239" w:rsidRDefault="003A3239" w:rsidP="00173783">
            <w:pPr>
              <w:bidi w:val="0"/>
              <w:rPr>
                <w:rFonts w:cstheme="minorHAnsi"/>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Authorized organization to collect and publish data</w:t>
            </w:r>
          </w:p>
          <w:p w:rsidR="003A3239" w:rsidRDefault="003A3239" w:rsidP="00173783">
            <w:pPr>
              <w:bidi w:val="0"/>
              <w:rPr>
                <w:rFonts w:cstheme="minorHAnsi"/>
                <w:sz w:val="28"/>
                <w:szCs w:val="28"/>
                <w:lang w:bidi="ar-JO"/>
              </w:rPr>
            </w:pPr>
            <w:r>
              <w:rPr>
                <w:lang w:bidi="ar-JO"/>
              </w:rPr>
              <w:t xml:space="preserve">Department of Statistics, under the Law No. 12 of 2012. </w:t>
            </w:r>
          </w:p>
        </w:tc>
      </w:tr>
      <w:tr w:rsidR="003A3239" w:rsidTr="003A3239">
        <w:trPr>
          <w:jc w:val="center"/>
        </w:trPr>
        <w:tc>
          <w:tcPr>
            <w:tcW w:w="6307" w:type="dxa"/>
            <w:hideMark/>
          </w:tcPr>
          <w:p w:rsidR="003A3239" w:rsidRDefault="003A3239" w:rsidP="00173783">
            <w:pPr>
              <w:pStyle w:val="Heading1"/>
              <w:bidi w:val="0"/>
              <w:outlineLvl w:val="0"/>
              <w:rPr>
                <w:lang w:bidi="ar-JO"/>
              </w:rPr>
            </w:pPr>
            <w:bookmarkStart w:id="1" w:name="_1._المحتويات"/>
            <w:bookmarkEnd w:id="1"/>
            <w:r>
              <w:rPr>
                <w:lang w:bidi="ar-JO"/>
              </w:rPr>
              <w:t xml:space="preserve">1. Contents </w:t>
            </w:r>
          </w:p>
        </w:tc>
        <w:tc>
          <w:tcPr>
            <w:tcW w:w="3758" w:type="dxa"/>
            <w:gridSpan w:val="2"/>
          </w:tcPr>
          <w:p w:rsidR="003A3239" w:rsidRDefault="003A3239" w:rsidP="00173783">
            <w:pPr>
              <w:bidi w:val="0"/>
              <w:rPr>
                <w:rFonts w:cstheme="minorHAnsi"/>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1-1 Content description </w:t>
            </w:r>
          </w:p>
          <w:p w:rsidR="007F1A1B" w:rsidRDefault="003A3239" w:rsidP="007F1A1B">
            <w:pPr>
              <w:bidi w:val="0"/>
              <w:rPr>
                <w:lang w:bidi="ar-JO"/>
              </w:rPr>
            </w:pPr>
            <w:r>
              <w:rPr>
                <w:lang w:bidi="ar-JO"/>
              </w:rPr>
              <w:t>Statistical unit</w:t>
            </w:r>
            <w:r w:rsidR="00E20E9D">
              <w:rPr>
                <w:lang w:bidi="ar-JO"/>
              </w:rPr>
              <w:t xml:space="preserve">: the survey covers a sample of the establishments working in the </w:t>
            </w:r>
            <w:r w:rsidR="005F144C">
              <w:rPr>
                <w:lang w:bidi="ar-JO"/>
              </w:rPr>
              <w:t xml:space="preserve">organized </w:t>
            </w:r>
            <w:r w:rsidR="00E20E9D">
              <w:rPr>
                <w:lang w:bidi="ar-JO"/>
              </w:rPr>
              <w:t>transport, storage and mailing</w:t>
            </w:r>
            <w:r w:rsidR="00CE3F07">
              <w:rPr>
                <w:lang w:bidi="ar-JO"/>
              </w:rPr>
              <w:t xml:space="preserve"> </w:t>
            </w:r>
            <w:r w:rsidR="003E2CDA">
              <w:rPr>
                <w:lang w:bidi="ar-JO"/>
              </w:rPr>
              <w:t xml:space="preserve">sector in addition to a sample of </w:t>
            </w:r>
            <w:r w:rsidR="002C0891">
              <w:rPr>
                <w:lang w:bidi="ar-JO"/>
              </w:rPr>
              <w:t xml:space="preserve">public vehicles operating in the land transportation sector of passengers and goods in the unorganized sector of which data are collected quarterly, and these quarters are aggregated to represent a whole year and then integrated with the annual survey data of the </w:t>
            </w:r>
            <w:r w:rsidR="007F1A1B">
              <w:rPr>
                <w:lang w:bidi="ar-JO"/>
              </w:rPr>
              <w:t xml:space="preserve">annual survey of the organized sector. </w:t>
            </w:r>
          </w:p>
          <w:p w:rsidR="003A3239" w:rsidRPr="007F1A1B" w:rsidRDefault="007F1A1B" w:rsidP="007F1A1B">
            <w:pPr>
              <w:bidi w:val="0"/>
              <w:rPr>
                <w:rFonts w:eastAsia="Times New Roman" w:cstheme="minorHAnsi"/>
                <w:noProof/>
                <w:lang w:eastAsia="ar-SA"/>
              </w:rPr>
            </w:pPr>
            <w:r>
              <w:rPr>
                <w:rFonts w:eastAsia="Times New Roman" w:cstheme="minorHAnsi"/>
                <w:noProof/>
                <w:lang w:eastAsia="ar-SA"/>
              </w:rPr>
              <w:t xml:space="preserve">This survey provides data on the current production, medican consuption, value added, personnel remunerations, annual depreciation, net indirect taxes, and the configuration of the total fixed capital classified by each economic activity to the level of fourth grade of the </w:t>
            </w:r>
            <w:r w:rsidRPr="0098272B">
              <w:rPr>
                <w:rFonts w:eastAsia="Times New Roman" w:cstheme="minorHAnsi"/>
                <w:noProof/>
                <w:lang w:eastAsia="ar-SA"/>
              </w:rPr>
              <w:t>International Standard Industrial Classification of All Economic Activities</w:t>
            </w:r>
            <w:r>
              <w:rPr>
                <w:rFonts w:eastAsia="Times New Roman" w:cstheme="minorHAnsi"/>
                <w:noProof/>
                <w:lang w:eastAsia="ar-SA"/>
              </w:rPr>
              <w:t xml:space="preserve"> (4</w:t>
            </w:r>
            <w:r w:rsidRPr="0098272B">
              <w:rPr>
                <w:rFonts w:eastAsia="Times New Roman" w:cstheme="minorHAnsi"/>
                <w:noProof/>
                <w:vertAlign w:val="superscript"/>
                <w:lang w:eastAsia="ar-SA"/>
              </w:rPr>
              <w:t>th</w:t>
            </w:r>
            <w:r>
              <w:rPr>
                <w:rFonts w:eastAsia="Times New Roman" w:cstheme="minorHAnsi"/>
                <w:noProof/>
                <w:lang w:eastAsia="ar-SA"/>
              </w:rPr>
              <w:t xml:space="preserve"> amendment), as it also provides data about the number of facilities working in the organized sector and the number of vehicles whoring in the unorganized sector. </w:t>
            </w:r>
            <w:r w:rsidR="003A3239" w:rsidRPr="007C4D35">
              <w:rPr>
                <w:rFonts w:eastAsia="Times New Roman" w:cstheme="minorHAnsi"/>
                <w:noProof/>
                <w:sz w:val="24"/>
                <w:szCs w:val="24"/>
                <w:lang w:eastAsia="ar-SA"/>
              </w:rPr>
              <w:t xml:space="preserve"> </w:t>
            </w:r>
          </w:p>
        </w:tc>
      </w:tr>
      <w:tr w:rsidR="003A3239" w:rsidTr="00173783">
        <w:trPr>
          <w:jc w:val="center"/>
        </w:trPr>
        <w:tc>
          <w:tcPr>
            <w:tcW w:w="10065" w:type="dxa"/>
            <w:gridSpan w:val="3"/>
            <w:hideMark/>
          </w:tcPr>
          <w:p w:rsidR="003A3239" w:rsidRPr="00AB596B" w:rsidRDefault="00317519" w:rsidP="00173783">
            <w:pPr>
              <w:bidi w:val="0"/>
              <w:rPr>
                <w:b/>
                <w:bCs/>
                <w:color w:val="4F81BD" w:themeColor="accent1"/>
                <w:lang w:bidi="ar-JO"/>
              </w:rPr>
            </w:pPr>
            <w:r>
              <w:rPr>
                <w:b/>
                <w:bCs/>
                <w:color w:val="4F81BD" w:themeColor="accent1"/>
                <w:lang w:bidi="ar-JO"/>
              </w:rPr>
              <w:t>1-2</w:t>
            </w:r>
            <w:r w:rsidR="003A3239" w:rsidRPr="00AB596B">
              <w:rPr>
                <w:b/>
                <w:bCs/>
                <w:color w:val="4F81BD" w:themeColor="accent1"/>
                <w:lang w:bidi="ar-JO"/>
              </w:rPr>
              <w:t xml:space="preserve"> variables </w:t>
            </w:r>
          </w:p>
          <w:p w:rsidR="003A3239" w:rsidRDefault="003A3239" w:rsidP="00173783">
            <w:pPr>
              <w:bidi w:val="0"/>
              <w:spacing w:before="120" w:after="120"/>
              <w:jc w:val="both"/>
              <w:rPr>
                <w:lang w:bidi="ar-JO"/>
              </w:rPr>
            </w:pPr>
            <w:r w:rsidRPr="0098272B">
              <w:rPr>
                <w:rFonts w:eastAsia="Times New Roman" w:cstheme="minorHAnsi"/>
                <w:lang w:bidi="ar-LB"/>
              </w:rPr>
              <w:t xml:space="preserve">Main economic activity, </w:t>
            </w:r>
            <w:r>
              <w:rPr>
                <w:rFonts w:eastAsia="Times New Roman" w:cstheme="minorHAnsi"/>
                <w:lang w:bidi="ar-LB"/>
              </w:rPr>
              <w:t>governorate, main production</w:t>
            </w:r>
            <w:r>
              <w:rPr>
                <w:rFonts w:eastAsia="Times New Roman" w:cstheme="minorHAnsi"/>
                <w:lang w:eastAsia="ar-SA" w:bidi="ar-JO"/>
              </w:rPr>
              <w:t>, production of minor activities, median consumption of goods and services, value added and its additions: (personnel remunerations, indirect taxes, annual depreciations, and operation surplus), number of workers and number of operating establishments of the sector.</w:t>
            </w:r>
          </w:p>
        </w:tc>
      </w:tr>
      <w:tr w:rsidR="003A3239" w:rsidTr="00173783">
        <w:trPr>
          <w:jc w:val="center"/>
        </w:trPr>
        <w:tc>
          <w:tcPr>
            <w:tcW w:w="10065" w:type="dxa"/>
            <w:gridSpan w:val="3"/>
            <w:hideMark/>
          </w:tcPr>
          <w:p w:rsidR="003A3239" w:rsidRDefault="00317519" w:rsidP="00173783">
            <w:pPr>
              <w:bidi w:val="0"/>
              <w:rPr>
                <w:b/>
                <w:bCs/>
                <w:color w:val="4F81BD" w:themeColor="accent1"/>
                <w:lang w:bidi="ar-JO"/>
              </w:rPr>
            </w:pPr>
            <w:r>
              <w:rPr>
                <w:b/>
                <w:bCs/>
                <w:color w:val="4F81BD" w:themeColor="accent1"/>
                <w:lang w:bidi="ar-JO"/>
              </w:rPr>
              <w:t>1-3</w:t>
            </w:r>
            <w:r w:rsidR="003A3239">
              <w:rPr>
                <w:b/>
                <w:bCs/>
                <w:color w:val="4F81BD" w:themeColor="accent1"/>
                <w:lang w:bidi="ar-JO"/>
              </w:rPr>
              <w:t xml:space="preserve"> Classifications (basis of details in the tables) </w:t>
            </w:r>
          </w:p>
          <w:p w:rsidR="003A3239" w:rsidRDefault="003A3239" w:rsidP="00173783">
            <w:pPr>
              <w:pStyle w:val="ListParagraph"/>
              <w:numPr>
                <w:ilvl w:val="0"/>
                <w:numId w:val="2"/>
              </w:numPr>
              <w:bidi w:val="0"/>
              <w:rPr>
                <w:lang w:bidi="ar-JO"/>
              </w:rPr>
            </w:pPr>
            <w:r>
              <w:rPr>
                <w:lang w:bidi="ar-JO"/>
              </w:rPr>
              <w:t xml:space="preserve"> </w:t>
            </w:r>
            <w:r w:rsidRPr="0098272B">
              <w:rPr>
                <w:rFonts w:eastAsia="Times New Roman" w:cstheme="minorHAnsi"/>
                <w:noProof/>
                <w:lang w:eastAsia="ar-SA"/>
              </w:rPr>
              <w:t>International Standard Industrial Classification</w:t>
            </w:r>
            <w:r>
              <w:rPr>
                <w:lang w:bidi="ar-JO"/>
              </w:rPr>
              <w:t xml:space="preserve"> (ISIC4)</w:t>
            </w:r>
          </w:p>
          <w:p w:rsidR="003A3239" w:rsidRDefault="003A3239" w:rsidP="00173783">
            <w:pPr>
              <w:pStyle w:val="ListParagraph"/>
              <w:numPr>
                <w:ilvl w:val="0"/>
                <w:numId w:val="2"/>
              </w:numPr>
              <w:bidi w:val="0"/>
              <w:rPr>
                <w:lang w:bidi="ar-JO"/>
              </w:rPr>
            </w:pPr>
            <w:r>
              <w:rPr>
                <w:lang w:bidi="ar-JO"/>
              </w:rPr>
              <w:t xml:space="preserve">Central Products Classification CPC 2.0 </w:t>
            </w:r>
          </w:p>
          <w:p w:rsidR="003A3239" w:rsidRDefault="003A3239" w:rsidP="00173783">
            <w:pPr>
              <w:pStyle w:val="ListParagraph"/>
              <w:numPr>
                <w:ilvl w:val="0"/>
                <w:numId w:val="2"/>
              </w:numPr>
              <w:bidi w:val="0"/>
              <w:rPr>
                <w:lang w:bidi="ar-JO"/>
              </w:rPr>
            </w:pPr>
            <w:r>
              <w:rPr>
                <w:lang w:bidi="ar-JO"/>
              </w:rPr>
              <w:t>Published schedules are based on the data published according to the ISIC4.</w:t>
            </w:r>
          </w:p>
          <w:p w:rsidR="003A3239" w:rsidRDefault="003A3239" w:rsidP="00173783">
            <w:pPr>
              <w:pStyle w:val="ListParagraph"/>
              <w:bidi w:val="0"/>
              <w:rPr>
                <w:lang w:bidi="ar-JO"/>
              </w:rPr>
            </w:pPr>
          </w:p>
        </w:tc>
      </w:tr>
      <w:tr w:rsidR="003A3239" w:rsidTr="003A3239">
        <w:trPr>
          <w:jc w:val="center"/>
        </w:trPr>
        <w:tc>
          <w:tcPr>
            <w:tcW w:w="6307" w:type="dxa"/>
            <w:hideMark/>
          </w:tcPr>
          <w:p w:rsidR="003A3239" w:rsidRDefault="003A3239" w:rsidP="00173783">
            <w:pPr>
              <w:pStyle w:val="Heading1"/>
              <w:bidi w:val="0"/>
              <w:outlineLvl w:val="0"/>
              <w:rPr>
                <w:lang w:bidi="ar-JO"/>
              </w:rPr>
            </w:pPr>
            <w:bookmarkStart w:id="2" w:name="_2-_الوقت"/>
            <w:bookmarkEnd w:id="2"/>
            <w:r>
              <w:rPr>
                <w:lang w:bidi="ar-JO"/>
              </w:rPr>
              <w:t xml:space="preserve">2- Time </w:t>
            </w:r>
          </w:p>
          <w:p w:rsidR="00465A0D" w:rsidRPr="00465A0D" w:rsidRDefault="00465A0D" w:rsidP="00465A0D">
            <w:pPr>
              <w:bidi w:val="0"/>
              <w:rPr>
                <w:lang w:bidi="ar-JO"/>
              </w:rPr>
            </w:pPr>
            <w:r>
              <w:rPr>
                <w:lang w:bidi="ar-JO"/>
              </w:rPr>
              <w:t xml:space="preserve">The survey of transportation, storage and mailing is implemented on annual basis, so as to cover the data of the previous financial year to the year subject of survey.   </w:t>
            </w:r>
          </w:p>
        </w:tc>
        <w:tc>
          <w:tcPr>
            <w:tcW w:w="3758" w:type="dxa"/>
            <w:gridSpan w:val="2"/>
          </w:tcPr>
          <w:p w:rsidR="003A3239" w:rsidRDefault="003A3239" w:rsidP="00173783">
            <w:pPr>
              <w:bidi w:val="0"/>
              <w:rPr>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2-1 reference period (during which the data is collected)</w:t>
            </w:r>
          </w:p>
          <w:p w:rsidR="003A3239" w:rsidRDefault="003A3239" w:rsidP="00465A0D">
            <w:pPr>
              <w:bidi w:val="0"/>
              <w:rPr>
                <w:lang w:bidi="ar-JO"/>
              </w:rPr>
            </w:pPr>
            <w:r>
              <w:rPr>
                <w:lang w:bidi="ar-JO"/>
              </w:rPr>
              <w:t xml:space="preserve">The </w:t>
            </w:r>
            <w:r w:rsidR="00465A0D">
              <w:rPr>
                <w:lang w:bidi="ar-JO"/>
              </w:rPr>
              <w:t xml:space="preserve">time reference of this survey is the month preceding the date of visit. </w:t>
            </w:r>
            <w:r>
              <w:rPr>
                <w:lang w:bidi="ar-JO"/>
              </w:rPr>
              <w:t xml:space="preserve"> </w:t>
            </w: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2-2 date of dissemination </w:t>
            </w:r>
          </w:p>
          <w:p w:rsidR="003A3239" w:rsidRDefault="00465A0D" w:rsidP="00173783">
            <w:pPr>
              <w:bidi w:val="0"/>
              <w:rPr>
                <w:rFonts w:cstheme="minorHAnsi"/>
                <w:sz w:val="28"/>
                <w:szCs w:val="28"/>
                <w:lang w:bidi="ar-JO"/>
              </w:rPr>
            </w:pPr>
            <w:r>
              <w:rPr>
                <w:lang w:bidi="ar-JO"/>
              </w:rPr>
              <w:t>Available:</w:t>
            </w:r>
            <w:r w:rsidR="003A3239">
              <w:rPr>
                <w:lang w:bidi="ar-JO"/>
              </w:rPr>
              <w:t xml:space="preserve"> the annual date for the publication of these data is pre-determined by the statistical calendar of publication. </w:t>
            </w:r>
          </w:p>
        </w:tc>
      </w:tr>
      <w:tr w:rsidR="003A3239" w:rsidTr="00173783">
        <w:trPr>
          <w:jc w:val="center"/>
        </w:trPr>
        <w:tc>
          <w:tcPr>
            <w:tcW w:w="10065" w:type="dxa"/>
            <w:gridSpan w:val="3"/>
            <w:hideMark/>
          </w:tcPr>
          <w:p w:rsidR="003A3239" w:rsidRDefault="00317519" w:rsidP="00173783">
            <w:pPr>
              <w:bidi w:val="0"/>
              <w:rPr>
                <w:b/>
                <w:bCs/>
                <w:color w:val="4F81BD" w:themeColor="accent1"/>
                <w:lang w:bidi="ar-JO"/>
              </w:rPr>
            </w:pPr>
            <w:r>
              <w:rPr>
                <w:b/>
                <w:bCs/>
                <w:color w:val="4F81BD" w:themeColor="accent1"/>
                <w:lang w:bidi="ar-JO"/>
              </w:rPr>
              <w:t>2-3</w:t>
            </w:r>
            <w:r w:rsidR="003A3239">
              <w:rPr>
                <w:b/>
                <w:bCs/>
                <w:color w:val="4F81BD" w:themeColor="accent1"/>
                <w:lang w:bidi="ar-JO"/>
              </w:rPr>
              <w:t xml:space="preserve"> commitment to date of dissemination</w:t>
            </w:r>
          </w:p>
          <w:p w:rsidR="003A3239" w:rsidRDefault="003A3239" w:rsidP="00173783">
            <w:pPr>
              <w:bidi w:val="0"/>
              <w:rPr>
                <w:lang w:bidi="ar-JO"/>
              </w:rPr>
            </w:pPr>
            <w:r>
              <w:rPr>
                <w:lang w:bidi="ar-JO"/>
              </w:rPr>
              <w:t xml:space="preserve">There is commitment to publication according to the internal statistical agenda which are originally associated with the standards of data publication SDDS. </w:t>
            </w:r>
          </w:p>
        </w:tc>
      </w:tr>
      <w:tr w:rsidR="003A3239" w:rsidTr="00173783">
        <w:trPr>
          <w:jc w:val="center"/>
        </w:trPr>
        <w:tc>
          <w:tcPr>
            <w:tcW w:w="10065" w:type="dxa"/>
            <w:gridSpan w:val="3"/>
            <w:hideMark/>
          </w:tcPr>
          <w:p w:rsidR="003A3239" w:rsidRDefault="00317519" w:rsidP="00173783">
            <w:pPr>
              <w:bidi w:val="0"/>
              <w:rPr>
                <w:b/>
                <w:bCs/>
                <w:color w:val="4F81BD" w:themeColor="accent1"/>
                <w:lang w:bidi="ar-JO"/>
              </w:rPr>
            </w:pPr>
            <w:r>
              <w:rPr>
                <w:b/>
                <w:bCs/>
                <w:color w:val="4F81BD" w:themeColor="accent1"/>
                <w:lang w:bidi="ar-JO"/>
              </w:rPr>
              <w:t>2-4</w:t>
            </w:r>
            <w:r w:rsidR="003A3239">
              <w:rPr>
                <w:b/>
                <w:bCs/>
                <w:color w:val="4F81BD" w:themeColor="accent1"/>
                <w:lang w:bidi="ar-JO"/>
              </w:rPr>
              <w:t xml:space="preserve"> periodicity </w:t>
            </w:r>
          </w:p>
          <w:p w:rsidR="003A3239" w:rsidRDefault="003A3239" w:rsidP="00173783">
            <w:pPr>
              <w:bidi w:val="0"/>
              <w:rPr>
                <w:lang w:bidi="ar-JO"/>
              </w:rPr>
            </w:pPr>
            <w:r>
              <w:rPr>
                <w:lang w:bidi="ar-JO"/>
              </w:rPr>
              <w:t xml:space="preserve">Annually </w:t>
            </w:r>
            <w:r w:rsidR="009E4ECD">
              <w:rPr>
                <w:lang w:bidi="ar-JO"/>
              </w:rPr>
              <w:t xml:space="preserve">for the organized sector and quarterly for the unorganized sector. </w:t>
            </w:r>
            <w:r>
              <w:rPr>
                <w:lang w:bidi="ar-JO"/>
              </w:rPr>
              <w:t xml:space="preserve">   </w:t>
            </w:r>
          </w:p>
        </w:tc>
      </w:tr>
      <w:tr w:rsidR="003A3239" w:rsidTr="00173783">
        <w:trPr>
          <w:jc w:val="center"/>
        </w:trPr>
        <w:tc>
          <w:tcPr>
            <w:tcW w:w="10065" w:type="dxa"/>
            <w:gridSpan w:val="3"/>
            <w:hideMark/>
          </w:tcPr>
          <w:p w:rsidR="003A3239" w:rsidRDefault="00317519" w:rsidP="00173783">
            <w:pPr>
              <w:bidi w:val="0"/>
              <w:rPr>
                <w:lang w:bidi="ar-JO"/>
              </w:rPr>
            </w:pPr>
            <w:r>
              <w:rPr>
                <w:b/>
                <w:bCs/>
                <w:color w:val="4F81BD" w:themeColor="accent1"/>
                <w:lang w:bidi="ar-JO"/>
              </w:rPr>
              <w:t>2-5</w:t>
            </w:r>
            <w:r w:rsidR="003A3239">
              <w:rPr>
                <w:b/>
                <w:bCs/>
                <w:color w:val="4F81BD" w:themeColor="accent1"/>
                <w:lang w:bidi="ar-JO"/>
              </w:rPr>
              <w:t xml:space="preserve"> availability of time series (mention available time series of this survey)</w:t>
            </w:r>
          </w:p>
        </w:tc>
      </w:tr>
      <w:tr w:rsidR="003A3239" w:rsidTr="00173783">
        <w:trPr>
          <w:jc w:val="center"/>
        </w:trPr>
        <w:tc>
          <w:tcPr>
            <w:tcW w:w="10065" w:type="dxa"/>
            <w:gridSpan w:val="3"/>
            <w:hideMark/>
          </w:tcPr>
          <w:p w:rsidR="003A3239" w:rsidRDefault="003A3239" w:rsidP="00844F36">
            <w:pPr>
              <w:bidi w:val="0"/>
              <w:rPr>
                <w:rFonts w:cstheme="minorHAnsi"/>
                <w:sz w:val="28"/>
                <w:szCs w:val="28"/>
                <w:lang w:bidi="ar-JO"/>
              </w:rPr>
            </w:pPr>
            <w:r>
              <w:rPr>
                <w:lang w:bidi="ar-JO"/>
              </w:rPr>
              <w:t>There is a time series of annual surveys from 199</w:t>
            </w:r>
            <w:r w:rsidR="00844F36">
              <w:rPr>
                <w:lang w:bidi="ar-JO"/>
              </w:rPr>
              <w:t>2</w:t>
            </w:r>
            <w:r>
              <w:rPr>
                <w:lang w:bidi="ar-JO"/>
              </w:rPr>
              <w:t xml:space="preserve"> – 20</w:t>
            </w:r>
            <w:r w:rsidR="00844F36">
              <w:rPr>
                <w:lang w:bidi="ar-JO"/>
              </w:rPr>
              <w:t>19</w:t>
            </w:r>
            <w:r>
              <w:rPr>
                <w:lang w:bidi="ar-JO"/>
              </w:rPr>
              <w:t>.</w:t>
            </w:r>
          </w:p>
          <w:p w:rsidR="003A3239" w:rsidRPr="00D22E76" w:rsidRDefault="003A3239" w:rsidP="00173783">
            <w:pPr>
              <w:bidi w:val="0"/>
              <w:rPr>
                <w:rFonts w:cstheme="minorHAnsi"/>
                <w:lang w:bidi="ar-JO"/>
              </w:rPr>
            </w:pPr>
            <w:r>
              <w:rPr>
                <w:rFonts w:cstheme="minorHAnsi"/>
                <w:lang w:bidi="ar-JO"/>
              </w:rPr>
              <w:t>(</w:t>
            </w:r>
            <w:r w:rsidR="009E4ECD">
              <w:rPr>
                <w:rFonts w:cstheme="minorHAnsi"/>
                <w:lang w:bidi="ar-JO"/>
              </w:rPr>
              <w:t>There</w:t>
            </w:r>
            <w:r>
              <w:rPr>
                <w:rFonts w:cstheme="minorHAnsi"/>
                <w:lang w:bidi="ar-JO"/>
              </w:rPr>
              <w:t xml:space="preserve"> is difference in the data restoration process beginning from 2009 till the present time, while maintaining the nature of major variables in a manner that does not affect the comparisons process </w:t>
            </w:r>
            <w:r>
              <w:rPr>
                <w:rFonts w:cstheme="minorHAnsi"/>
                <w:lang w:bidi="ar-JO"/>
              </w:rPr>
              <w:lastRenderedPageBreak/>
              <w:t xml:space="preserve">throughout the abovementioned time series). </w:t>
            </w:r>
          </w:p>
        </w:tc>
      </w:tr>
      <w:tr w:rsidR="003A3239" w:rsidTr="003A3239">
        <w:trPr>
          <w:jc w:val="center"/>
        </w:trPr>
        <w:tc>
          <w:tcPr>
            <w:tcW w:w="6307" w:type="dxa"/>
            <w:hideMark/>
          </w:tcPr>
          <w:p w:rsidR="003A3239" w:rsidRDefault="003A3239" w:rsidP="00173783">
            <w:pPr>
              <w:pStyle w:val="Heading1"/>
              <w:bidi w:val="0"/>
              <w:outlineLvl w:val="0"/>
              <w:rPr>
                <w:lang w:bidi="ar-JO"/>
              </w:rPr>
            </w:pPr>
            <w:bookmarkStart w:id="3" w:name="_3-_مستوى_الدقة"/>
            <w:bookmarkEnd w:id="3"/>
            <w:r>
              <w:rPr>
                <w:lang w:bidi="ar-JO"/>
              </w:rPr>
              <w:lastRenderedPageBreak/>
              <w:t xml:space="preserve">3- Accuracy </w:t>
            </w:r>
          </w:p>
        </w:tc>
        <w:tc>
          <w:tcPr>
            <w:tcW w:w="3758" w:type="dxa"/>
            <w:gridSpan w:val="2"/>
          </w:tcPr>
          <w:p w:rsidR="003A3239" w:rsidRDefault="003A3239" w:rsidP="00173783">
            <w:pPr>
              <w:bidi w:val="0"/>
              <w:rPr>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3-1 overall accuracy (very high if all items in checklist are implemented, high if two thirds are implemented, medium if less than half the items are implemented)</w:t>
            </w:r>
          </w:p>
          <w:p w:rsidR="003A3239" w:rsidRDefault="003A3239" w:rsidP="009E4ECD">
            <w:pPr>
              <w:bidi w:val="0"/>
              <w:rPr>
                <w:lang w:bidi="ar-JO"/>
              </w:rPr>
            </w:pPr>
            <w:r>
              <w:rPr>
                <w:lang w:bidi="ar-JO"/>
              </w:rPr>
              <w:t xml:space="preserve">Overall accuracy: very high </w:t>
            </w:r>
            <w:r w:rsidR="009E4ECD">
              <w:rPr>
                <w:lang w:bidi="ar-JO"/>
              </w:rPr>
              <w:t xml:space="preserve">due to the presence of up-to-date computerized programs that enable the listing of many rules which prevent the occurrence of errors. </w:t>
            </w:r>
            <w:r>
              <w:rPr>
                <w:lang w:bidi="ar-JO"/>
              </w:rPr>
              <w:t xml:space="preserve">The data examination process is characterized by its high accuracy and it consists of the following stages: </w:t>
            </w:r>
          </w:p>
          <w:p w:rsidR="003A3239" w:rsidRDefault="003A3239" w:rsidP="00173783">
            <w:pPr>
              <w:pStyle w:val="ListParagraph"/>
              <w:numPr>
                <w:ilvl w:val="0"/>
                <w:numId w:val="2"/>
              </w:numPr>
              <w:bidi w:val="0"/>
              <w:rPr>
                <w:lang w:bidi="ar-JO"/>
              </w:rPr>
            </w:pPr>
            <w:r>
              <w:rPr>
                <w:lang w:bidi="ar-JO"/>
              </w:rPr>
              <w:t xml:space="preserve">Field examination for all paper forms </w:t>
            </w:r>
          </w:p>
          <w:p w:rsidR="003A3239" w:rsidRDefault="003A3239" w:rsidP="00173783">
            <w:pPr>
              <w:pStyle w:val="ListParagraph"/>
              <w:numPr>
                <w:ilvl w:val="0"/>
                <w:numId w:val="2"/>
              </w:numPr>
              <w:bidi w:val="0"/>
              <w:rPr>
                <w:lang w:bidi="ar-JO"/>
              </w:rPr>
            </w:pPr>
            <w:r>
              <w:rPr>
                <w:lang w:bidi="ar-JO"/>
              </w:rPr>
              <w:t>Office examination for all variables in a paper form</w:t>
            </w:r>
          </w:p>
          <w:p w:rsidR="003A3239" w:rsidRDefault="003A3239" w:rsidP="00173783">
            <w:pPr>
              <w:pStyle w:val="ListParagraph"/>
              <w:numPr>
                <w:ilvl w:val="0"/>
                <w:numId w:val="2"/>
              </w:numPr>
              <w:bidi w:val="0"/>
              <w:rPr>
                <w:lang w:bidi="ar-JO"/>
              </w:rPr>
            </w:pPr>
            <w:r>
              <w:rPr>
                <w:lang w:bidi="ar-JO"/>
              </w:rPr>
              <w:t>E-examination databases on computer</w:t>
            </w:r>
          </w:p>
          <w:p w:rsidR="003A3239" w:rsidRDefault="003A3239" w:rsidP="00173783">
            <w:pPr>
              <w:pStyle w:val="ListParagraph"/>
              <w:numPr>
                <w:ilvl w:val="0"/>
                <w:numId w:val="2"/>
              </w:numPr>
              <w:bidi w:val="0"/>
              <w:rPr>
                <w:lang w:bidi="ar-JO"/>
              </w:rPr>
            </w:pPr>
            <w:r>
              <w:rPr>
                <w:lang w:bidi="ar-JO"/>
              </w:rPr>
              <w:t xml:space="preserve">Examination of input data through the screens linked with the supervisors of survey and complete examination of the data. </w:t>
            </w:r>
          </w:p>
          <w:p w:rsidR="003A3239" w:rsidRDefault="003A3239" w:rsidP="00173783">
            <w:pPr>
              <w:pStyle w:val="ListParagraph"/>
              <w:numPr>
                <w:ilvl w:val="0"/>
                <w:numId w:val="2"/>
              </w:numPr>
              <w:bidi w:val="0"/>
              <w:rPr>
                <w:lang w:bidi="ar-JO"/>
              </w:rPr>
            </w:pPr>
            <w:r>
              <w:rPr>
                <w:lang w:bidi="ar-JO"/>
              </w:rPr>
              <w:t xml:space="preserve">Examination of the schedules and comparing them to the results extracted from the IT Directorate; </w:t>
            </w:r>
          </w:p>
          <w:p w:rsidR="003A3239" w:rsidRDefault="003A3239" w:rsidP="00173783">
            <w:pPr>
              <w:pStyle w:val="ListParagraph"/>
              <w:numPr>
                <w:ilvl w:val="0"/>
                <w:numId w:val="2"/>
              </w:numPr>
              <w:bidi w:val="0"/>
              <w:rPr>
                <w:lang w:bidi="ar-JO"/>
              </w:rPr>
            </w:pPr>
            <w:r>
              <w:rPr>
                <w:lang w:bidi="ar-JO"/>
              </w:rPr>
              <w:t xml:space="preserve">Comparing the new results with the old ones and any other available data sources. </w:t>
            </w: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3-2 sources of inaccuracy </w:t>
            </w:r>
          </w:p>
          <w:p w:rsidR="003A3239" w:rsidRDefault="003A3239" w:rsidP="00173783">
            <w:pPr>
              <w:bidi w:val="0"/>
              <w:rPr>
                <w:lang w:bidi="ar-JO"/>
              </w:rPr>
            </w:pPr>
            <w:r>
              <w:rPr>
                <w:lang w:bidi="ar-JO"/>
              </w:rPr>
              <w:t xml:space="preserve">Sample  </w:t>
            </w: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3-3 available accuracy measures </w:t>
            </w:r>
          </w:p>
          <w:p w:rsidR="003A3239" w:rsidRDefault="003A3239" w:rsidP="00173783">
            <w:pPr>
              <w:bidi w:val="0"/>
              <w:rPr>
                <w:lang w:bidi="ar-JO"/>
              </w:rPr>
            </w:pPr>
            <w:r>
              <w:rPr>
                <w:lang w:bidi="ar-JO"/>
              </w:rPr>
              <w:t xml:space="preserve">Descriptive accuracy measures </w:t>
            </w:r>
          </w:p>
        </w:tc>
      </w:tr>
      <w:tr w:rsidR="003A3239" w:rsidTr="003A3239">
        <w:trPr>
          <w:jc w:val="center"/>
        </w:trPr>
        <w:tc>
          <w:tcPr>
            <w:tcW w:w="6307" w:type="dxa"/>
            <w:hideMark/>
          </w:tcPr>
          <w:p w:rsidR="003A3239" w:rsidRDefault="003A3239" w:rsidP="00173783">
            <w:pPr>
              <w:pStyle w:val="Heading1"/>
              <w:bidi w:val="0"/>
              <w:outlineLvl w:val="0"/>
              <w:rPr>
                <w:lang w:bidi="ar-JO"/>
              </w:rPr>
            </w:pPr>
            <w:bookmarkStart w:id="4" w:name="_4-_المقارنة"/>
            <w:bookmarkEnd w:id="4"/>
            <w:r>
              <w:rPr>
                <w:lang w:bidi="ar-JO"/>
              </w:rPr>
              <w:t xml:space="preserve">4- Comparability </w:t>
            </w:r>
          </w:p>
        </w:tc>
        <w:tc>
          <w:tcPr>
            <w:tcW w:w="3758" w:type="dxa"/>
            <w:gridSpan w:val="2"/>
          </w:tcPr>
          <w:p w:rsidR="003A3239" w:rsidRDefault="003A3239" w:rsidP="00173783">
            <w:pPr>
              <w:bidi w:val="0"/>
              <w:rPr>
                <w:rFonts w:cstheme="minorHAnsi"/>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4-1 comparability over time  (ability to compare data with previously published data)</w:t>
            </w:r>
          </w:p>
          <w:p w:rsidR="003A3239" w:rsidRDefault="003A3239" w:rsidP="00173783">
            <w:pPr>
              <w:bidi w:val="0"/>
              <w:rPr>
                <w:lang w:bidi="ar-JO"/>
              </w:rPr>
            </w:pPr>
            <w:r>
              <w:rPr>
                <w:lang w:bidi="ar-JO"/>
              </w:rPr>
              <w:t xml:space="preserve">The data is comparable with previously published data, due to using the same methodology and application of international standards. </w:t>
            </w: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4-2comparability with other statistics (ability to compare data with figures in other surveys, and with other countries)</w:t>
            </w:r>
          </w:p>
          <w:p w:rsidR="003A3239" w:rsidRDefault="003A3239" w:rsidP="00173783">
            <w:pPr>
              <w:bidi w:val="0"/>
              <w:rPr>
                <w:lang w:bidi="ar-JO"/>
              </w:rPr>
            </w:pPr>
            <w:r>
              <w:rPr>
                <w:lang w:bidi="ar-JO"/>
              </w:rPr>
              <w:t xml:space="preserve">The data is comparable with other statistics, which use the same international standards and classifications.  </w:t>
            </w:r>
          </w:p>
        </w:tc>
      </w:tr>
      <w:tr w:rsidR="003A3239" w:rsidTr="003A3239">
        <w:trPr>
          <w:jc w:val="center"/>
        </w:trPr>
        <w:tc>
          <w:tcPr>
            <w:tcW w:w="6307" w:type="dxa"/>
            <w:hideMark/>
          </w:tcPr>
          <w:p w:rsidR="003A3239" w:rsidRDefault="003A3239" w:rsidP="00173783">
            <w:pPr>
              <w:pStyle w:val="Heading1"/>
              <w:bidi w:val="0"/>
              <w:outlineLvl w:val="0"/>
              <w:rPr>
                <w:lang w:bidi="ar-JO"/>
              </w:rPr>
            </w:pPr>
            <w:bookmarkStart w:id="5" w:name="_5-_الوصول_للبيانات"/>
            <w:bookmarkEnd w:id="5"/>
            <w:r>
              <w:rPr>
                <w:lang w:bidi="ar-JO"/>
              </w:rPr>
              <w:t xml:space="preserve">5- Data accessibility </w:t>
            </w:r>
          </w:p>
        </w:tc>
        <w:tc>
          <w:tcPr>
            <w:tcW w:w="3758" w:type="dxa"/>
            <w:gridSpan w:val="2"/>
          </w:tcPr>
          <w:p w:rsidR="003A3239" w:rsidRDefault="003A3239" w:rsidP="00173783">
            <w:pPr>
              <w:bidi w:val="0"/>
              <w:rPr>
                <w:rFonts w:cstheme="minorHAnsi"/>
                <w:sz w:val="28"/>
                <w:szCs w:val="28"/>
                <w:lang w:bidi="ar-JO"/>
              </w:rPr>
            </w:pPr>
          </w:p>
        </w:tc>
      </w:tr>
      <w:tr w:rsidR="003A3239" w:rsidTr="00173783">
        <w:trPr>
          <w:jc w:val="center"/>
        </w:trPr>
        <w:tc>
          <w:tcPr>
            <w:tcW w:w="10065" w:type="dxa"/>
            <w:gridSpan w:val="3"/>
            <w:hideMark/>
          </w:tcPr>
          <w:p w:rsidR="003A3239" w:rsidRDefault="003A3239" w:rsidP="00173783">
            <w:pPr>
              <w:bidi w:val="0"/>
              <w:rPr>
                <w:b/>
                <w:bCs/>
                <w:color w:val="4F81BD" w:themeColor="accent1"/>
                <w:lang w:bidi="ar-JO"/>
              </w:rPr>
            </w:pPr>
            <w:r>
              <w:rPr>
                <w:b/>
                <w:bCs/>
                <w:color w:val="4F81BD" w:themeColor="accent1"/>
                <w:lang w:bidi="ar-JO"/>
              </w:rPr>
              <w:t xml:space="preserve">5-1 publication formats (how can the user access the data, e.g. DOS website, paper copies, etc..) </w:t>
            </w:r>
          </w:p>
          <w:p w:rsidR="003A3239" w:rsidRDefault="003A3239" w:rsidP="00173783">
            <w:pPr>
              <w:bidi w:val="0"/>
              <w:rPr>
                <w:lang w:bidi="ar-JO"/>
              </w:rPr>
            </w:pPr>
            <w:r>
              <w:rPr>
                <w:lang w:bidi="ar-JO"/>
              </w:rPr>
              <w:t xml:space="preserve">The data is published in printed and electronic format on DOS website. </w:t>
            </w:r>
          </w:p>
          <w:p w:rsidR="003A3239" w:rsidRPr="00653C01" w:rsidRDefault="00CC6218" w:rsidP="00173783">
            <w:pPr>
              <w:bidi w:val="0"/>
              <w:spacing w:line="360" w:lineRule="auto"/>
              <w:rPr>
                <w:rFonts w:asciiTheme="majorBidi" w:hAnsiTheme="majorBidi" w:cstheme="majorBidi"/>
                <w:lang w:bidi="ar-JO"/>
              </w:rPr>
            </w:pPr>
            <w:hyperlink r:id="rId7" w:history="1">
              <w:r w:rsidR="003A3239" w:rsidRPr="005B7ED9">
                <w:rPr>
                  <w:rStyle w:val="Hyperlink"/>
                  <w:rFonts w:asciiTheme="majorBidi" w:hAnsiTheme="majorBidi" w:cstheme="majorBidi"/>
                </w:rPr>
                <w:t>http://www.dos.gov.jo</w:t>
              </w:r>
            </w:hyperlink>
            <w:r w:rsidR="003A3239">
              <w:rPr>
                <w:rFonts w:asciiTheme="majorBidi" w:hAnsiTheme="majorBidi" w:cstheme="majorBidi"/>
                <w:lang w:bidi="ar-JO"/>
              </w:rPr>
              <w:t xml:space="preserve"> </w:t>
            </w:r>
          </w:p>
        </w:tc>
      </w:tr>
    </w:tbl>
    <w:p w:rsidR="003A3239" w:rsidRPr="00BB329E" w:rsidRDefault="003A3239" w:rsidP="003A3239">
      <w:pPr>
        <w:rPr>
          <w:rtl/>
        </w:rPr>
      </w:pPr>
    </w:p>
    <w:p w:rsidR="003A3239" w:rsidRDefault="003A3239" w:rsidP="003A3239"/>
    <w:p w:rsidR="003A3239" w:rsidRPr="00A7365C" w:rsidRDefault="003A3239" w:rsidP="003A3239">
      <w:pPr>
        <w:rPr>
          <w:lang w:bidi="ar-JO"/>
        </w:rPr>
      </w:pPr>
    </w:p>
    <w:p w:rsidR="00EF6939" w:rsidRPr="003A3239" w:rsidRDefault="00EF6939">
      <w:pPr>
        <w:rPr>
          <w:lang w:bidi="ar-JO"/>
        </w:rPr>
      </w:pPr>
    </w:p>
    <w:sectPr w:rsidR="00EF6939" w:rsidRPr="003A32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E6BCF"/>
    <w:multiLevelType w:val="hybridMultilevel"/>
    <w:tmpl w:val="9EA2273E"/>
    <w:lvl w:ilvl="0" w:tplc="24402472">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610BCA"/>
    <w:multiLevelType w:val="hybridMultilevel"/>
    <w:tmpl w:val="DD48C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DB"/>
    <w:rsid w:val="000479DE"/>
    <w:rsid w:val="000C2E86"/>
    <w:rsid w:val="002C0891"/>
    <w:rsid w:val="003004DB"/>
    <w:rsid w:val="00317519"/>
    <w:rsid w:val="003A3239"/>
    <w:rsid w:val="003E2CDA"/>
    <w:rsid w:val="00465A0D"/>
    <w:rsid w:val="005F144C"/>
    <w:rsid w:val="006C5CB3"/>
    <w:rsid w:val="0077282B"/>
    <w:rsid w:val="007F1A1B"/>
    <w:rsid w:val="00844F36"/>
    <w:rsid w:val="009E4ECD"/>
    <w:rsid w:val="00A16D78"/>
    <w:rsid w:val="00CC6218"/>
    <w:rsid w:val="00CE3F07"/>
    <w:rsid w:val="00DB0874"/>
    <w:rsid w:val="00E11FF7"/>
    <w:rsid w:val="00E20E9D"/>
    <w:rsid w:val="00EF6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39"/>
    <w:pPr>
      <w:bidi/>
    </w:pPr>
  </w:style>
  <w:style w:type="paragraph" w:styleId="Heading1">
    <w:name w:val="heading 1"/>
    <w:basedOn w:val="Normal"/>
    <w:next w:val="Normal"/>
    <w:link w:val="Heading1Char"/>
    <w:uiPriority w:val="9"/>
    <w:qFormat/>
    <w:rsid w:val="003A32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A3239"/>
    <w:pPr>
      <w:ind w:left="720"/>
      <w:contextualSpacing/>
    </w:pPr>
  </w:style>
  <w:style w:type="table" w:styleId="TableGrid">
    <w:name w:val="Table Grid"/>
    <w:basedOn w:val="TableNormal"/>
    <w:uiPriority w:val="59"/>
    <w:rsid w:val="003A3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32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39"/>
    <w:pPr>
      <w:bidi/>
    </w:pPr>
  </w:style>
  <w:style w:type="paragraph" w:styleId="Heading1">
    <w:name w:val="heading 1"/>
    <w:basedOn w:val="Normal"/>
    <w:next w:val="Normal"/>
    <w:link w:val="Heading1Char"/>
    <w:uiPriority w:val="9"/>
    <w:qFormat/>
    <w:rsid w:val="003A32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A3239"/>
    <w:pPr>
      <w:ind w:left="720"/>
      <w:contextualSpacing/>
    </w:pPr>
  </w:style>
  <w:style w:type="table" w:styleId="TableGrid">
    <w:name w:val="Table Grid"/>
    <w:basedOn w:val="TableNormal"/>
    <w:uiPriority w:val="59"/>
    <w:rsid w:val="003A3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32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s.gov.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osh@dos.gov.j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00962-777-668-915</dc:creator>
  <cp:lastModifiedBy>derar jawarneh</cp:lastModifiedBy>
  <cp:revision>5</cp:revision>
  <dcterms:created xsi:type="dcterms:W3CDTF">2022-02-23T09:20:00Z</dcterms:created>
  <dcterms:modified xsi:type="dcterms:W3CDTF">2022-03-01T06:43:00Z</dcterms:modified>
</cp:coreProperties>
</file>