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340AAE" w:rsidRDefault="00C24910" w:rsidP="004E277C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bookmarkStart w:id="0" w:name="_GoBack"/>
      <w:bookmarkEnd w:id="0"/>
      <w:r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وثيقة توضيحية للبيانات الم</w:t>
      </w:r>
      <w:r w:rsidR="002B7384"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نشور</w:t>
      </w:r>
      <w:r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</w:p>
    <w:tbl>
      <w:tblPr>
        <w:tblStyle w:val="TableGrid"/>
        <w:bidiVisual/>
        <w:tblW w:w="12514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  <w:gridCol w:w="3993"/>
        <w:gridCol w:w="994"/>
        <w:gridCol w:w="2096"/>
      </w:tblGrid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821780" w:rsidRPr="00340AAE" w:rsidRDefault="00821780" w:rsidP="00673428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الاسم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:</w:t>
            </w:r>
            <w:r w:rsidR="00FB13EA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المسوح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/ مسح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النقل</w:t>
            </w:r>
            <w:r w:rsidR="00272B0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والتخزين والبريد</w:t>
            </w:r>
          </w:p>
        </w:tc>
        <w:tc>
          <w:tcPr>
            <w:tcW w:w="3993" w:type="dxa"/>
            <w:vMerge w:val="restart"/>
          </w:tcPr>
          <w:p w:rsidR="00821780" w:rsidRPr="00340AAE" w:rsidRDefault="00F047C7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1._المحتويا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المحتويات</w:t>
              </w:r>
            </w:hyperlink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F047C7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2-_الوق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الوقت</w:t>
              </w:r>
            </w:hyperlink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F047C7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3-_مستوى_الدقة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الدقة</w:t>
              </w:r>
            </w:hyperlink>
          </w:p>
          <w:p w:rsidR="00821780" w:rsidRPr="00340AAE" w:rsidRDefault="00F047C7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4-_المقارنة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المقارنة</w:t>
              </w:r>
            </w:hyperlink>
          </w:p>
          <w:p w:rsidR="00821780" w:rsidRPr="00340AAE" w:rsidRDefault="00F047C7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5-_الوصول_للبيانا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إحصاءات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اقتصادية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993" w:type="dxa"/>
            <w:vMerge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3" w:type="dxa"/>
            <w:vMerge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2B7384" w:rsidRPr="00340AAE" w:rsidRDefault="002B7384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الشخص المسؤول و</w:t>
            </w:r>
            <w:r w:rsidR="00B24498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المديرية</w:t>
            </w:r>
          </w:p>
          <w:p w:rsidR="00BD53E3" w:rsidRDefault="00821780" w:rsidP="00BD53E3">
            <w:pPr>
              <w:jc w:val="both"/>
              <w:rPr>
                <w:rFonts w:ascii="Traditional Arabic" w:hAnsi="Traditional Arabic" w:cs="Traditional Arabic"/>
                <w:sz w:val="24"/>
                <w:szCs w:val="24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مديرية </w:t>
            </w:r>
            <w:r w:rsidR="00BD53E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الاحصاءات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الاقتصادية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/ قسم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النقل والاتصالات والسياحة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–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محمد </w:t>
            </w:r>
            <w:r w:rsidR="00BD53E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خير العموش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تلفون </w:t>
            </w:r>
            <w:r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5300700-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فرعي  </w:t>
            </w:r>
            <w:r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673428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1315</w:t>
            </w:r>
            <w:r w:rsidR="002B7384"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="002B7384"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</w:p>
          <w:p w:rsidR="00821780" w:rsidRDefault="002B7384" w:rsidP="00BD53E3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بريد إلكتروني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</w:t>
            </w:r>
            <w:hyperlink r:id="rId9" w:history="1">
              <w:r w:rsidR="00BD53E3" w:rsidRPr="00A666AD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ar-JO"/>
                </w:rPr>
                <w:t>emosh@dos.gov.jo</w:t>
              </w:r>
            </w:hyperlink>
          </w:p>
          <w:p w:rsidR="00BD53E3" w:rsidRPr="00BD53E3" w:rsidRDefault="00BD53E3" w:rsidP="00BD53E3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BD53E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موبايل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BD53E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0785196316</w:t>
            </w:r>
          </w:p>
        </w:tc>
      </w:tr>
      <w:tr w:rsidR="002B7384" w:rsidRPr="00340AAE" w:rsidTr="00CF4819">
        <w:trPr>
          <w:gridAfter w:val="2"/>
          <w:wAfter w:w="3090" w:type="dxa"/>
          <w:trHeight w:val="149"/>
        </w:trPr>
        <w:tc>
          <w:tcPr>
            <w:tcW w:w="5431" w:type="dxa"/>
          </w:tcPr>
          <w:p w:rsidR="00011FFC" w:rsidRPr="00340AAE" w:rsidRDefault="00011FFC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3" w:type="dxa"/>
          </w:tcPr>
          <w:p w:rsidR="00011FFC" w:rsidRPr="00340AAE" w:rsidRDefault="00011FFC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821780" w:rsidRPr="00340AAE" w:rsidRDefault="00821780" w:rsidP="00272B0F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الهدف والمرجعية التاريخية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D66929" w:rsidP="00272B0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يهدف </w:t>
            </w:r>
            <w:r w:rsid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مسح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النقل والتخزين والبريد</w:t>
            </w:r>
            <w:r w:rsidR="00272B0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للقطاع المنظم ومسح النقل للقطاع غير المنظم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إلى</w:t>
            </w:r>
            <w:r w:rsidR="00340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توفير البيانات التالية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821780" w:rsidRDefault="00340AAE" w:rsidP="00272B0F">
            <w:pPr>
              <w:pStyle w:val="ListParagraph"/>
              <w:numPr>
                <w:ilvl w:val="0"/>
                <w:numId w:val="1"/>
              </w:numPr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عدد المنشآت العاملة في قطاع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النقل والتخزين والبريد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272B0F" w:rsidRDefault="00272B0F" w:rsidP="00673428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عدد المركبات العمومية العاملة في القطاع غير المنظم.</w:t>
            </w:r>
          </w:p>
          <w:p w:rsidR="00340AAE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تعويضات العاملين من رواتب واجور ومزايا عينية ونقدية.</w:t>
            </w:r>
          </w:p>
          <w:p w:rsidR="00340AAE" w:rsidRDefault="00340AAE" w:rsidP="00673428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قيمة الانتاج الاجمالي والاستهلاك الوسيط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السلعي والخدمي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340AAE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حجم راس المال المستثمر والتكوين الراسمالي خلال العام.</w:t>
            </w:r>
          </w:p>
          <w:p w:rsidR="00340AAE" w:rsidRPr="00340AAE" w:rsidRDefault="00340AAE" w:rsidP="00272B0F">
            <w:pPr>
              <w:pStyle w:val="ListParagraph"/>
              <w:numPr>
                <w:ilvl w:val="0"/>
                <w:numId w:val="1"/>
              </w:numPr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تقدير مساهمة قطاع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النقل والتخزين والبريد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في الناتج المحلي الاجمالي وتوفير البيانات اللازمة لاعداد الحسابات القومية.</w:t>
            </w:r>
          </w:p>
          <w:p w:rsidR="00821780" w:rsidRPr="00340AAE" w:rsidRDefault="00821780" w:rsidP="00A65773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البيانات المنشورة</w:t>
            </w:r>
            <w:r w:rsidR="00340AAE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في هذ</w:t>
            </w:r>
            <w:r w:rsidR="00D66929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المسح قابلة للمقارنة </w:t>
            </w:r>
            <w:r w:rsidR="004711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حيث انها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C95F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تتم باسلوب</w:t>
            </w:r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4711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العينة</w:t>
            </w:r>
            <w:r w:rsidR="00C95F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لمعظم الانشطة واسلوب المسح الشامل لبعض الانشطة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. </w:t>
            </w:r>
          </w:p>
        </w:tc>
      </w:tr>
      <w:tr w:rsidR="002B7384" w:rsidRPr="00340AAE" w:rsidTr="00CF4819">
        <w:trPr>
          <w:gridAfter w:val="1"/>
          <w:wAfter w:w="2096" w:type="dxa"/>
        </w:trPr>
        <w:tc>
          <w:tcPr>
            <w:tcW w:w="9424" w:type="dxa"/>
            <w:gridSpan w:val="2"/>
          </w:tcPr>
          <w:p w:rsidR="00712442" w:rsidRDefault="00C24910" w:rsidP="00D46ABB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المرجعية التاريخية: </w:t>
            </w:r>
            <w:r w:rsidR="00D46ABB" w:rsidRPr="00D46ABB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(يرجى كتابة السنة التي بوشر فيها تنفيذ المسح)</w:t>
            </w:r>
          </w:p>
          <w:p w:rsidR="00D46ABB" w:rsidRPr="00D46ABB" w:rsidRDefault="00D46ABB" w:rsidP="00D46ABB">
            <w:pPr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 w:rsidRPr="00D46AB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1992</w:t>
            </w:r>
          </w:p>
        </w:tc>
        <w:tc>
          <w:tcPr>
            <w:tcW w:w="994" w:type="dxa"/>
          </w:tcPr>
          <w:p w:rsidR="00011FFC" w:rsidRPr="00340AAE" w:rsidRDefault="00011FFC" w:rsidP="003E42A2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712442" w:rsidRPr="00340AAE" w:rsidRDefault="00821780" w:rsidP="00673428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المستخدم</w:t>
            </w:r>
            <w:r w:rsidR="00F45859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ن والتطبيقات </w:t>
            </w:r>
          </w:p>
          <w:p w:rsidR="00821780" w:rsidRPr="00340AAE" w:rsidRDefault="00821780" w:rsidP="00673428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المستخدم</w:t>
            </w:r>
            <w:r w:rsidR="00F45859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ن: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مديرية الحسابات القومية و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المؤسسات الحكومية ذات العلاقة والمخططين وراسمي السياسات ومراكز  الأبحاث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والدارسين والمهتمين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التطبيقات: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بناء وتركيب الحسابات القومية والاقتصاد الوطني. والدراسات التفصيلية للقطاعات الاقتصادية 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المختلفة.</w:t>
            </w:r>
          </w:p>
        </w:tc>
      </w:tr>
      <w:tr w:rsidR="002B7384" w:rsidRPr="00340AAE" w:rsidTr="00CF4819">
        <w:trPr>
          <w:gridAfter w:val="2"/>
          <w:wAfter w:w="3090" w:type="dxa"/>
          <w:trHeight w:val="234"/>
        </w:trPr>
        <w:tc>
          <w:tcPr>
            <w:tcW w:w="9424" w:type="dxa"/>
            <w:gridSpan w:val="2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  <w:trHeight w:val="929"/>
        </w:trPr>
        <w:tc>
          <w:tcPr>
            <w:tcW w:w="9424" w:type="dxa"/>
            <w:gridSpan w:val="2"/>
          </w:tcPr>
          <w:p w:rsidR="00712442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المصدر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="009B57AD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Default="00673428" w:rsidP="00A65773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يتم جمع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البيانات من خلال مسوحات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سنوي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للمنشآت العاملة في </w:t>
            </w:r>
            <w:r w:rsidR="004F0CE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قطاع النقل المنظم ومن خلال مسوحات ربعية للمركبات العمومية العاملة في </w:t>
            </w:r>
            <w:r w:rsidR="00A657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مجال النقل البري للركاب والبضائع للقطاع</w:t>
            </w:r>
            <w:r w:rsidR="004F0CE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غير المنظم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  <w:p w:rsidR="00B114ED" w:rsidRPr="00340AAE" w:rsidRDefault="00B114ED" w:rsidP="00A65773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9B57AD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الهيئة المخولة بجمع البيانات ونشرها</w:t>
            </w:r>
            <w:r w:rsidR="008839C4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3E42A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12</w:t>
            </w:r>
            <w:r w:rsidRPr="003E42A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لسنة </w:t>
            </w:r>
            <w:r w:rsidR="009B57AD" w:rsidRPr="003E42A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2012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B211AB" w:rsidRPr="00340AAE" w:rsidRDefault="00F11EE6" w:rsidP="00CF4819">
            <w:pPr>
              <w:pStyle w:val="Heading1"/>
              <w:spacing w:before="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1" w:name="_1._المحتويات"/>
            <w:bookmarkEnd w:id="1"/>
            <w:r w:rsidRPr="003E42A2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1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. المحتويات </w:t>
            </w:r>
          </w:p>
        </w:tc>
        <w:tc>
          <w:tcPr>
            <w:tcW w:w="3993" w:type="dxa"/>
          </w:tcPr>
          <w:p w:rsidR="00B211AB" w:rsidRPr="00340AAE" w:rsidRDefault="00B211AB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C24910" w:rsidRPr="00340AAE" w:rsidRDefault="00821780" w:rsidP="00CF4819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وصف المحتويات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712442" w:rsidRPr="00340AAE" w:rsidRDefault="00C24910" w:rsidP="00CF4819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الوحدة الإحصائية: </w:t>
            </w:r>
            <w:r w:rsidR="0082178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يشمل المسح </w:t>
            </w:r>
            <w:r w:rsidR="00B1172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عينة من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المنشآت </w:t>
            </w:r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العاملة في 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قطاع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النقل والتخزين والبريد</w:t>
            </w:r>
            <w:r w:rsidR="00CF4819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القطاع المنظم</w:t>
            </w:r>
            <w:r w:rsidR="000503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بالاضافة الى عينة من المركبات العمومية العاملة في قطاع النقل البري للركاب والبضائع </w:t>
            </w:r>
            <w:r w:rsidR="00A657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للقطاع</w:t>
            </w:r>
            <w:r w:rsidR="000503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غير المنظم </w:t>
            </w:r>
            <w:r w:rsidR="00A6577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والتي</w:t>
            </w:r>
            <w:r w:rsidR="004F0CE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يتم جمع</w:t>
            </w:r>
            <w:r w:rsidR="0005031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بياناتها بشكل ربعي وفي النهاية يتم تجميع هذه الارباع لتمثل عام كامل ويتم دمجها مع بيانات المسح السنوي للقطاع المنظم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21780" w:rsidRPr="00340AAE" w:rsidRDefault="00C24910" w:rsidP="00CF4819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قدم هذ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المسح بيانات حول الانتاج القائم والقيمة والمضافة وتعويضات العاملين والاهتلاكات والضرائب وتكوين رأس المال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الثابث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حسب كل نشاط اقتصادي على مستوى الحد الرابع من التصنيف الصناعي الدولي الموحد لجميع الأنشطة الاقتصادية (التعديل الرابع)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كما يوفر بيانات حول عدد المنشآت العاملة في </w:t>
            </w:r>
            <w:r w:rsidR="006734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القطاع</w:t>
            </w:r>
            <w:r w:rsidR="003A25E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المنظم وعدد المركبات العاملة في القطاع غير المنظم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.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F11EB6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C24910"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المتغيرات </w:t>
            </w:r>
          </w:p>
          <w:p w:rsidR="00F11EB6" w:rsidRPr="00340AAE" w:rsidRDefault="009B57AD" w:rsidP="000D26AA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النشاط الاقتصادي الرئيسي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المحافظة، الإنتاج </w:t>
            </w:r>
            <w:r w:rsidR="00DD46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من الانشطة الرئيسية والثانوية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، الاستهلاك الوسيط</w:t>
            </w:r>
            <w:r w:rsidR="003A25E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السلعي والخدمي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، القيمة المضافة ومكونات</w:t>
            </w:r>
            <w:r w:rsidR="003A25E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ها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 (تعويضات العاملين، الضرائب غير المباشرة، الاهتلاكات، فائض التشغيل) وعدد العاملين، عدد المنشآت العاملة في القطاع</w:t>
            </w:r>
            <w:r w:rsidR="003A25E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المنظم وعدد المركبات</w:t>
            </w:r>
            <w:r w:rsidR="00DD4654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العاملة</w:t>
            </w:r>
            <w:r w:rsidR="003A25E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في القطاع غير المنظم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. </w:t>
            </w:r>
          </w:p>
        </w:tc>
      </w:tr>
      <w:tr w:rsidR="002B7384" w:rsidRPr="00340AAE" w:rsidTr="000D26AA">
        <w:trPr>
          <w:gridAfter w:val="2"/>
          <w:wAfter w:w="3090" w:type="dxa"/>
          <w:trHeight w:hRule="exact" w:val="2262"/>
        </w:trPr>
        <w:tc>
          <w:tcPr>
            <w:tcW w:w="9424" w:type="dxa"/>
            <w:gridSpan w:val="2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C24910"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التصنيفات </w:t>
            </w:r>
          </w:p>
          <w:p w:rsidR="00712442" w:rsidRPr="00340AAE" w:rsidRDefault="009B57AD" w:rsidP="003E42A2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التصنيف الصناعي الدولي الموحد لجميع الأنشطة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</w:t>
            </w:r>
            <w:r w:rsidR="00C24910" w:rsidRPr="00F11EB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</w:t>
            </w:r>
            <w:r w:rsidR="00C24910" w:rsidRPr="00F11EB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ISIC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).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التصنيف المركزي للمنتجات </w:t>
            </w:r>
            <w:r w:rsidR="00B114E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B114ED" w:rsidRPr="00B114ED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2.0</w:t>
            </w:r>
            <w:r w:rsidRPr="00F11EB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CPC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0D26AA" w:rsidRDefault="003A7DE0" w:rsidP="003E42A2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الجداول المنشورة تعتمد على نشر البيانات حسب 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التصنيف الصناعي الدولي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0D26AA" w:rsidRDefault="000D26AA" w:rsidP="000D26AA">
            <w:pPr>
              <w:ind w:firstLine="720"/>
              <w:rPr>
                <w:rtl/>
                <w:lang w:bidi="ar-JO"/>
              </w:rPr>
            </w:pPr>
          </w:p>
          <w:p w:rsidR="003A7DE0" w:rsidRPr="000D26AA" w:rsidRDefault="003A7DE0" w:rsidP="000D26AA">
            <w:pPr>
              <w:tabs>
                <w:tab w:val="left" w:pos="2533"/>
              </w:tabs>
              <w:rPr>
                <w:rtl/>
                <w:lang w:bidi="ar-JO"/>
              </w:rPr>
            </w:pPr>
          </w:p>
        </w:tc>
      </w:tr>
      <w:tr w:rsidR="002B7384" w:rsidRPr="00340AAE" w:rsidTr="00CF4819">
        <w:tc>
          <w:tcPr>
            <w:tcW w:w="9424" w:type="dxa"/>
            <w:gridSpan w:val="2"/>
          </w:tcPr>
          <w:p w:rsidR="00642753" w:rsidRPr="00340AAE" w:rsidRDefault="009A0305" w:rsidP="00FB5C28">
            <w:pPr>
              <w:pStyle w:val="Heading1"/>
              <w:spacing w:before="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</w:rPr>
            </w:pPr>
            <w:bookmarkStart w:id="2" w:name="_2-_الوقت"/>
            <w:bookmarkEnd w:id="2"/>
            <w:r w:rsidRPr="00F11EB6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lastRenderedPageBreak/>
              <w:t>2</w:t>
            </w:r>
            <w:r w:rsidR="00F11EB6">
              <w:rPr>
                <w:rFonts w:ascii="Traditional Arabic" w:hAnsi="Traditional Arabic" w:cs="Traditional Arabic" w:hint="cs"/>
                <w:color w:val="auto"/>
                <w:sz w:val="32"/>
                <w:szCs w:val="32"/>
                <w:rtl/>
                <w:lang w:bidi="ar-JO"/>
              </w:rPr>
              <w:t xml:space="preserve">.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الوقت </w:t>
            </w:r>
          </w:p>
          <w:p w:rsidR="00F11EB6" w:rsidRPr="00340AAE" w:rsidRDefault="00C24910" w:rsidP="00FB5C28">
            <w:pPr>
              <w:tabs>
                <w:tab w:val="left" w:pos="5219"/>
              </w:tabs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نفذ </w:t>
            </w:r>
            <w:r w:rsidR="00FB5C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مسح النقل والتخزين والبريد للقطاع المنظم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سنويا، بحيث يغطي البيانات عن السنة المالية السابقة للسنة التي يتم فيها تنفيذ المسح</w:t>
            </w:r>
            <w:r w:rsidR="00FB5C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وبالنسبة للقطاع غير المنظم يتم تنفيذه بشكل ربع سنوي والمرجع الزمني لهذا المسح هو الشهر السابق ليوم الزيارة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3090" w:type="dxa"/>
            <w:gridSpan w:val="2"/>
          </w:tcPr>
          <w:p w:rsidR="00642753" w:rsidRPr="00340AAE" w:rsidRDefault="00642753" w:rsidP="003E42A2">
            <w:pPr>
              <w:spacing w:before="240"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104B4F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2-1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الفترة المرجعية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3A7DE0" w:rsidRPr="00340AAE" w:rsidRDefault="009B57AD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تغطي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البيانات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سنة ميلادية كاملة</w:t>
            </w:r>
            <w:r w:rsidR="00FB5C28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للقطاع المنظم وثلاثة شهور كاملة للقطاع غير المنظم</w:t>
            </w:r>
            <w:r w:rsidR="008D79EB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2-2 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التا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ريخ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712442" w:rsidRPr="00340AAE" w:rsidRDefault="00C24910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التاريخ السنوي لنشر هذه البيانات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محدد مسبقا من خلال الرزنامة الإحصائية لنشر البيانات الإحصائية.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2-3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الالتزام بالنشر </w:t>
            </w:r>
          </w:p>
          <w:p w:rsidR="00712442" w:rsidRPr="00340AAE" w:rsidRDefault="00C24910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 w:rsidRPr="00F11EB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SDDS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104B4F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712442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التكرار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</w:t>
            </w:r>
          </w:p>
          <w:p w:rsidR="003A7DE0" w:rsidRPr="00340AAE" w:rsidRDefault="00C24910" w:rsidP="000D26AA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يتم اجراء المسح سنويا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للقطاع المنظم وربعيا للقطاع غير المنظم بشكل منتظم </w:t>
            </w:r>
            <w:r w:rsidR="000D26A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في كل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عام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104B4F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2-5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توفر سلسلة زمنية </w:t>
            </w:r>
          </w:p>
          <w:p w:rsidR="00C24910" w:rsidRPr="00340AAE" w:rsidRDefault="001B4C2C" w:rsidP="00351481">
            <w:pPr>
              <w:ind w:right="284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تتوفر سلسلة زمنية</w:t>
            </w:r>
            <w:r w:rsidR="00C24910"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للبيانات والمتغيرات الرئيسية للمسح من عام </w:t>
            </w:r>
            <w:r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104B4F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1992</w:t>
            </w:r>
            <w:r w:rsidRPr="00C95F4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-20</w:t>
            </w:r>
            <w:r w:rsidR="003514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19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C24910" w:rsidRPr="00340AAE" w:rsidRDefault="00C24910" w:rsidP="00104B4F">
            <w:pPr>
              <w:ind w:right="284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(يوجد اختلاف في عملية استرجاع البيانات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بسبب تحديث البرامج الحاسوبية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بدأت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من عام </w:t>
            </w:r>
            <w:r w:rsidRPr="00F11EB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2009</w:t>
            </w:r>
            <w:r w:rsidRPr="00F11EB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حتى الآن مع المحافظة على طبيعة المتغيرات الرئيسية بما لا يؤثر على عملية إجراء المقارنات عبر السلسلة الزمنية أعلاه) .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756203" w:rsidRPr="00340AAE" w:rsidRDefault="00756203" w:rsidP="00104B4F">
            <w:pPr>
              <w:pStyle w:val="Heading1"/>
              <w:spacing w:before="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3" w:name="_3-_مستوى_الدقة"/>
            <w:bookmarkEnd w:id="3"/>
            <w:r w:rsidRPr="00F11EB6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3</w:t>
            </w:r>
            <w:r w:rsidR="00F11EB6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 xml:space="preserve">. </w:t>
            </w:r>
            <w:r w:rsidRPr="00F11EB6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مستوى الدقة </w:t>
            </w:r>
          </w:p>
        </w:tc>
        <w:tc>
          <w:tcPr>
            <w:tcW w:w="3993" w:type="dxa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9B57AD" w:rsidRPr="00340AAE" w:rsidRDefault="00D03004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3-1</w:t>
            </w:r>
            <w:r w:rsidRPr="00F11E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الدقة الكلية </w:t>
            </w:r>
          </w:p>
          <w:p w:rsidR="00D03004" w:rsidRPr="00340AAE" w:rsidRDefault="00D03004" w:rsidP="005C2143">
            <w:pPr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عالية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جداً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بسبب وجود البرامج الحاسوبية الحديثة التي تتيح ادراج العديد من قواعد تدقيق لمنع الاخطاء المختلفة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br/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وتشتمل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عملية تدقيق البيانات على المراحل التالية:</w:t>
            </w:r>
          </w:p>
          <w:p w:rsidR="00C24910" w:rsidRPr="00340AAE" w:rsidRDefault="00C24910" w:rsidP="000D26AA">
            <w:pPr>
              <w:pStyle w:val="ListParagraph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ميداني لجميع الاستمارات</w:t>
            </w:r>
          </w:p>
          <w:p w:rsidR="00C24910" w:rsidRPr="00340AAE" w:rsidRDefault="00C24910" w:rsidP="000D26AA">
            <w:pPr>
              <w:pStyle w:val="ListParagraph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مكتبي لجميع المتغيرات في الاستمارة</w:t>
            </w:r>
          </w:p>
          <w:p w:rsidR="00C24910" w:rsidRPr="00340AAE" w:rsidRDefault="00C24910" w:rsidP="000D26AA">
            <w:pPr>
              <w:pStyle w:val="ListParagraph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قواعد تدقيق الكترونية على الحاسب الآلي</w:t>
            </w:r>
          </w:p>
          <w:p w:rsidR="00C24910" w:rsidRPr="00340AAE" w:rsidRDefault="00C24910" w:rsidP="000D26AA">
            <w:pPr>
              <w:pStyle w:val="ListParagraph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تدقيق البيانات المدخلة من خلال 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برنامج اكسل</w:t>
            </w:r>
            <w:r w:rsidR="000D26A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ومن خلال برنامج المسوحات الاقتصادية المتاح لكل قسم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0D26AA" w:rsidRDefault="00C24910" w:rsidP="000D26AA">
            <w:pPr>
              <w:pStyle w:val="ListParagraph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0D26A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على الجداول ومقارنتها بالنتائج المستخرجة من مديرية تكنولوجيا المعلومات.</w:t>
            </w:r>
          </w:p>
          <w:p w:rsidR="000D26AA" w:rsidRPr="000D26AA" w:rsidRDefault="000D26AA" w:rsidP="000D26AA">
            <w:pPr>
              <w:pStyle w:val="ListParagraph"/>
              <w:numPr>
                <w:ilvl w:val="0"/>
                <w:numId w:val="3"/>
              </w:numPr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0D26A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مقارنة النتائج الجديدة مع النتائج السابقة وأية مصادر بيانات أخرى متوفرة.</w:t>
            </w:r>
          </w:p>
          <w:p w:rsidR="00C24910" w:rsidRPr="00340AAE" w:rsidRDefault="000D26AA" w:rsidP="000D26AA">
            <w:pPr>
              <w:ind w:left="366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104B4F" w:rsidRDefault="00D03004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3-2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مصادر عدم الدقة </w:t>
            </w:r>
          </w:p>
          <w:p w:rsidR="00C24910" w:rsidRPr="00340AAE" w:rsidRDefault="00D03004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العينة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9B57AD" w:rsidRPr="00340AAE" w:rsidRDefault="003A7DE0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3-3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مقاييس الدقة المتوفرة </w:t>
            </w:r>
          </w:p>
          <w:p w:rsidR="003A7DE0" w:rsidRPr="00340AAE" w:rsidRDefault="003A7DE0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756203" w:rsidRPr="00340AAE" w:rsidRDefault="00756203" w:rsidP="00104B4F">
            <w:pPr>
              <w:pStyle w:val="Heading1"/>
              <w:spacing w:before="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4" w:name="_4-_المقارنة"/>
            <w:bookmarkEnd w:id="4"/>
            <w:r w:rsidRPr="004F08FF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4</w:t>
            </w:r>
            <w:r w:rsidR="004F08FF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 xml:space="preserve">. </w:t>
            </w:r>
            <w:r w:rsidRPr="004F08FF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المقارنة </w:t>
            </w:r>
          </w:p>
        </w:tc>
        <w:tc>
          <w:tcPr>
            <w:tcW w:w="3993" w:type="dxa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4-1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المقارنة عبر الزمن 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712442" w:rsidRPr="00340AAE" w:rsidRDefault="00E77F16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4-2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المقارنة مع الإحصاءات الأخرى</w:t>
            </w:r>
          </w:p>
          <w:p w:rsidR="00E77F16" w:rsidRPr="00340AAE" w:rsidRDefault="00E77F16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340AAE" w:rsidTr="00CF4819">
        <w:trPr>
          <w:gridAfter w:val="2"/>
          <w:wAfter w:w="3090" w:type="dxa"/>
        </w:trPr>
        <w:tc>
          <w:tcPr>
            <w:tcW w:w="5431" w:type="dxa"/>
          </w:tcPr>
          <w:p w:rsidR="00756203" w:rsidRPr="00340AAE" w:rsidRDefault="009939D4" w:rsidP="00104B4F">
            <w:pPr>
              <w:pStyle w:val="Heading1"/>
              <w:spacing w:before="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5" w:name="_5-_الوصول_للبيانات"/>
            <w:bookmarkEnd w:id="5"/>
            <w:r w:rsidRPr="004F08FF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5</w:t>
            </w:r>
            <w:r w:rsidR="004F08FF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>.</w:t>
            </w:r>
            <w:r w:rsidRPr="004F08FF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الوصول للبيانات </w:t>
            </w:r>
          </w:p>
        </w:tc>
        <w:tc>
          <w:tcPr>
            <w:tcW w:w="3993" w:type="dxa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9B57AD" w:rsidRPr="00340AAE" w:rsidTr="00CF4819">
        <w:trPr>
          <w:gridAfter w:val="2"/>
          <w:wAfter w:w="3090" w:type="dxa"/>
        </w:trPr>
        <w:tc>
          <w:tcPr>
            <w:tcW w:w="9424" w:type="dxa"/>
            <w:gridSpan w:val="2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5-1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شكل النشر </w:t>
            </w:r>
          </w:p>
          <w:p w:rsidR="003A7DE0" w:rsidRPr="00340AAE" w:rsidRDefault="003A7DE0" w:rsidP="000D26AA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تنشر البيانات 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على شكل نشرات </w:t>
            </w:r>
            <w:r w:rsidR="000D26A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واصدارات</w:t>
            </w:r>
            <w:r w:rsidR="00104B4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ورقية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وإلكترونياً على موقع دائرة الإحصاءات العامة </w:t>
            </w:r>
          </w:p>
          <w:p w:rsidR="003A7DE0" w:rsidRPr="00104B4F" w:rsidRDefault="00F047C7" w:rsidP="00104B4F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r:id="rId10" w:history="1">
              <w:r w:rsidR="00272B0F" w:rsidRPr="005B2E9A">
                <w:rPr>
                  <w:rStyle w:val="Hyperlink"/>
                  <w:rFonts w:ascii="Traditional Arabic" w:hAnsi="Traditional Arabic" w:cs="Traditional Arabic"/>
                  <w:sz w:val="32"/>
                  <w:szCs w:val="32"/>
                  <w:lang w:bidi="ar-JO"/>
                </w:rPr>
                <w:t>http://www.dos.gov.jo</w:t>
              </w:r>
            </w:hyperlink>
          </w:p>
        </w:tc>
      </w:tr>
    </w:tbl>
    <w:p w:rsidR="00B237D5" w:rsidRPr="00340AAE" w:rsidRDefault="00B237D5" w:rsidP="003E42A2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B12518" w:rsidRPr="00340AAE" w:rsidRDefault="00B12518" w:rsidP="003E42A2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JO"/>
        </w:rPr>
      </w:pPr>
    </w:p>
    <w:sectPr w:rsidR="00B12518" w:rsidRPr="00340AAE" w:rsidSect="00E83A63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7C7" w:rsidRDefault="00F047C7" w:rsidP="000031B4">
      <w:pPr>
        <w:spacing w:after="0" w:line="240" w:lineRule="auto"/>
      </w:pPr>
      <w:r>
        <w:separator/>
      </w:r>
    </w:p>
  </w:endnote>
  <w:endnote w:type="continuationSeparator" w:id="0">
    <w:p w:rsidR="00F047C7" w:rsidRDefault="00F047C7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55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7C7" w:rsidRDefault="00F047C7" w:rsidP="000031B4">
      <w:pPr>
        <w:spacing w:after="0" w:line="240" w:lineRule="auto"/>
      </w:pPr>
      <w:r>
        <w:separator/>
      </w:r>
    </w:p>
  </w:footnote>
  <w:footnote w:type="continuationSeparator" w:id="0">
    <w:p w:rsidR="00F047C7" w:rsidRDefault="00F047C7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B"/>
    <w:multiLevelType w:val="multilevel"/>
    <w:tmpl w:val="90FEE8BA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">
    <w:nsid w:val="27DE26F3"/>
    <w:multiLevelType w:val="hybridMultilevel"/>
    <w:tmpl w:val="53041398"/>
    <w:lvl w:ilvl="0" w:tplc="31FA9D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475A"/>
    <w:multiLevelType w:val="hybridMultilevel"/>
    <w:tmpl w:val="D862BA64"/>
    <w:lvl w:ilvl="0" w:tplc="0DF4A628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theme="majorBidi" w:hint="default"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30C97"/>
    <w:rsid w:val="0003713D"/>
    <w:rsid w:val="000421C7"/>
    <w:rsid w:val="0004255B"/>
    <w:rsid w:val="0005031D"/>
    <w:rsid w:val="000D26AA"/>
    <w:rsid w:val="00104B4F"/>
    <w:rsid w:val="00126DD8"/>
    <w:rsid w:val="0013094C"/>
    <w:rsid w:val="00140778"/>
    <w:rsid w:val="001409C2"/>
    <w:rsid w:val="00147532"/>
    <w:rsid w:val="001B4C2C"/>
    <w:rsid w:val="001E4D1E"/>
    <w:rsid w:val="001E681A"/>
    <w:rsid w:val="00226434"/>
    <w:rsid w:val="0027118E"/>
    <w:rsid w:val="00272B0F"/>
    <w:rsid w:val="00290A77"/>
    <w:rsid w:val="002B269C"/>
    <w:rsid w:val="002B29EE"/>
    <w:rsid w:val="002B7384"/>
    <w:rsid w:val="002F4A5D"/>
    <w:rsid w:val="00340AAE"/>
    <w:rsid w:val="003418F5"/>
    <w:rsid w:val="00351481"/>
    <w:rsid w:val="003A25EE"/>
    <w:rsid w:val="003A7DE0"/>
    <w:rsid w:val="003E42A2"/>
    <w:rsid w:val="003F07D2"/>
    <w:rsid w:val="00404CCC"/>
    <w:rsid w:val="004169DA"/>
    <w:rsid w:val="004257B4"/>
    <w:rsid w:val="0047114A"/>
    <w:rsid w:val="004E277C"/>
    <w:rsid w:val="004F08FF"/>
    <w:rsid w:val="004F0CE8"/>
    <w:rsid w:val="004F4212"/>
    <w:rsid w:val="00533602"/>
    <w:rsid w:val="0054048F"/>
    <w:rsid w:val="00591EAD"/>
    <w:rsid w:val="005C2143"/>
    <w:rsid w:val="005D1018"/>
    <w:rsid w:val="005D5C1E"/>
    <w:rsid w:val="005D69A2"/>
    <w:rsid w:val="006149A5"/>
    <w:rsid w:val="00642753"/>
    <w:rsid w:val="006664EF"/>
    <w:rsid w:val="006669AE"/>
    <w:rsid w:val="00673428"/>
    <w:rsid w:val="006C2A7A"/>
    <w:rsid w:val="006C4850"/>
    <w:rsid w:val="006D7BE9"/>
    <w:rsid w:val="006F0FCE"/>
    <w:rsid w:val="00712442"/>
    <w:rsid w:val="00723455"/>
    <w:rsid w:val="00726A3A"/>
    <w:rsid w:val="00756203"/>
    <w:rsid w:val="007B1462"/>
    <w:rsid w:val="00821780"/>
    <w:rsid w:val="00883553"/>
    <w:rsid w:val="008839C4"/>
    <w:rsid w:val="008D79EB"/>
    <w:rsid w:val="008F27F7"/>
    <w:rsid w:val="008F4747"/>
    <w:rsid w:val="00971AB3"/>
    <w:rsid w:val="00975568"/>
    <w:rsid w:val="009939D4"/>
    <w:rsid w:val="009A0305"/>
    <w:rsid w:val="009B57AD"/>
    <w:rsid w:val="00A4728E"/>
    <w:rsid w:val="00A65773"/>
    <w:rsid w:val="00B114ED"/>
    <w:rsid w:val="00B11724"/>
    <w:rsid w:val="00B12518"/>
    <w:rsid w:val="00B211AB"/>
    <w:rsid w:val="00B237D5"/>
    <w:rsid w:val="00B24498"/>
    <w:rsid w:val="00B64614"/>
    <w:rsid w:val="00BD47CB"/>
    <w:rsid w:val="00BD53E3"/>
    <w:rsid w:val="00C24910"/>
    <w:rsid w:val="00C4573A"/>
    <w:rsid w:val="00C52559"/>
    <w:rsid w:val="00C62BFF"/>
    <w:rsid w:val="00C67591"/>
    <w:rsid w:val="00C95F4A"/>
    <w:rsid w:val="00CA75E4"/>
    <w:rsid w:val="00CC5FDC"/>
    <w:rsid w:val="00CF4819"/>
    <w:rsid w:val="00D03004"/>
    <w:rsid w:val="00D16AE1"/>
    <w:rsid w:val="00D46ABB"/>
    <w:rsid w:val="00D50625"/>
    <w:rsid w:val="00D66929"/>
    <w:rsid w:val="00D671E1"/>
    <w:rsid w:val="00D73E05"/>
    <w:rsid w:val="00D845BD"/>
    <w:rsid w:val="00DD4654"/>
    <w:rsid w:val="00DE7BD7"/>
    <w:rsid w:val="00DF5FA3"/>
    <w:rsid w:val="00E75E1B"/>
    <w:rsid w:val="00E77F16"/>
    <w:rsid w:val="00E83A63"/>
    <w:rsid w:val="00EE0FC7"/>
    <w:rsid w:val="00F047C7"/>
    <w:rsid w:val="00F11EB6"/>
    <w:rsid w:val="00F11EE6"/>
    <w:rsid w:val="00F45859"/>
    <w:rsid w:val="00F56E26"/>
    <w:rsid w:val="00F642AA"/>
    <w:rsid w:val="00FB13EA"/>
    <w:rsid w:val="00FB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dos.gov.j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mosh@dos.gov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60CF1-91EF-4AC3-A0F4-D66CF164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derar jawarneh</cp:lastModifiedBy>
  <cp:revision>5</cp:revision>
  <cp:lastPrinted>2022-03-07T06:35:00Z</cp:lastPrinted>
  <dcterms:created xsi:type="dcterms:W3CDTF">2022-03-02T06:37:00Z</dcterms:created>
  <dcterms:modified xsi:type="dcterms:W3CDTF">2022-03-07T06:35:00Z</dcterms:modified>
</cp:coreProperties>
</file>