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BCA21" w14:textId="77777777" w:rsidR="006669AE" w:rsidRPr="00B87F1F" w:rsidRDefault="00D671E1" w:rsidP="00D671E1">
      <w:pPr>
        <w:jc w:val="center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JO"/>
        </w:rPr>
      </w:pPr>
      <w:r w:rsidRPr="00B87F1F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JO"/>
        </w:rPr>
        <w:t>وثيقة توضيحية للبيانات المنشورة</w:t>
      </w:r>
    </w:p>
    <w:tbl>
      <w:tblPr>
        <w:tblStyle w:val="TableGrid"/>
        <w:bidiVisual/>
        <w:tblW w:w="9506" w:type="dxa"/>
        <w:tblInd w:w="-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1"/>
        <w:gridCol w:w="3085"/>
      </w:tblGrid>
      <w:tr w:rsidR="00C15A49" w:rsidRPr="00B87F1F" w14:paraId="2EF0E039" w14:textId="77777777" w:rsidTr="00C15A49">
        <w:tc>
          <w:tcPr>
            <w:tcW w:w="6421" w:type="dxa"/>
          </w:tcPr>
          <w:p w14:paraId="5C463C83" w14:textId="77777777" w:rsidR="00821780" w:rsidRPr="00B87F1F" w:rsidRDefault="00C46EAB" w:rsidP="0025612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</w:t>
            </w:r>
            <w:r w:rsidR="00E177AA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قرير </w:t>
            </w:r>
            <w:r w:rsidR="00666C0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جداول المدخلات والمخرجات</w:t>
            </w:r>
            <w:r w:rsidR="0082178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7011E6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</w:t>
            </w:r>
            <w:r w:rsidR="00256129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إعداد</w:t>
            </w:r>
            <w:r w:rsidR="007011E6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666C0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وبناء جداول المدخلات والمخرجات وجداول العرض والاستخدام </w:t>
            </w:r>
            <w:r w:rsidR="007011E6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3085" w:type="dxa"/>
            <w:vMerge w:val="restart"/>
          </w:tcPr>
          <w:p w14:paraId="0D8C5658" w14:textId="77777777" w:rsidR="00821780" w:rsidRPr="00B87F1F" w:rsidRDefault="003F3403" w:rsidP="007320BC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hyperlink w:anchor="_1._المحتويات" w:history="1">
              <w:r w:rsidR="00821780" w:rsidRPr="00B87F1F">
                <w:rPr>
                  <w:rStyle w:val="Hyperlink"/>
                  <w:rFonts w:asciiTheme="majorBidi" w:hAnsiTheme="majorBidi" w:cstheme="majorBidi"/>
                  <w:b/>
                  <w:bCs/>
                  <w:color w:val="548DD4" w:themeColor="text2" w:themeTint="99"/>
                  <w:sz w:val="24"/>
                  <w:szCs w:val="24"/>
                  <w:rtl/>
                  <w:lang w:bidi="ar-JO"/>
                </w:rPr>
                <w:t>المحتويات</w:t>
              </w:r>
            </w:hyperlink>
            <w:r w:rsidR="00821780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</w:t>
            </w:r>
          </w:p>
          <w:p w14:paraId="5BD91EE5" w14:textId="77777777" w:rsidR="00821780" w:rsidRPr="00B87F1F" w:rsidRDefault="003F3403" w:rsidP="007320BC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hyperlink w:anchor="_2-_الوقت" w:history="1">
              <w:r w:rsidR="00821780" w:rsidRPr="00B87F1F">
                <w:rPr>
                  <w:rStyle w:val="Hyperlink"/>
                  <w:rFonts w:asciiTheme="majorBidi" w:hAnsiTheme="majorBidi" w:cstheme="majorBidi"/>
                  <w:b/>
                  <w:bCs/>
                  <w:color w:val="548DD4" w:themeColor="text2" w:themeTint="99"/>
                  <w:sz w:val="24"/>
                  <w:szCs w:val="24"/>
                  <w:rtl/>
                  <w:lang w:bidi="ar-JO"/>
                </w:rPr>
                <w:t>الوقت</w:t>
              </w:r>
            </w:hyperlink>
            <w:r w:rsidR="00821780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</w:t>
            </w:r>
          </w:p>
          <w:p w14:paraId="3383287C" w14:textId="77777777" w:rsidR="00821780" w:rsidRPr="00B87F1F" w:rsidRDefault="003F3403" w:rsidP="007320BC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hyperlink w:anchor="_3-_مستوى_الدقة" w:history="1">
              <w:r w:rsidR="00821780" w:rsidRPr="00B87F1F">
                <w:rPr>
                  <w:rStyle w:val="Hyperlink"/>
                  <w:rFonts w:asciiTheme="majorBidi" w:hAnsiTheme="majorBidi" w:cstheme="majorBidi"/>
                  <w:b/>
                  <w:bCs/>
                  <w:color w:val="548DD4" w:themeColor="text2" w:themeTint="99"/>
                  <w:sz w:val="24"/>
                  <w:szCs w:val="24"/>
                  <w:rtl/>
                  <w:lang w:bidi="ar-JO"/>
                </w:rPr>
                <w:t>الدقة</w:t>
              </w:r>
            </w:hyperlink>
          </w:p>
          <w:p w14:paraId="49B4E919" w14:textId="77777777" w:rsidR="00821780" w:rsidRPr="00B87F1F" w:rsidRDefault="003F3403" w:rsidP="007320BC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hyperlink w:anchor="_4-_المقارنة" w:history="1">
              <w:r w:rsidR="00821780" w:rsidRPr="00B87F1F">
                <w:rPr>
                  <w:rStyle w:val="Hyperlink"/>
                  <w:rFonts w:asciiTheme="majorBidi" w:hAnsiTheme="majorBidi" w:cstheme="majorBidi"/>
                  <w:b/>
                  <w:bCs/>
                  <w:color w:val="548DD4" w:themeColor="text2" w:themeTint="99"/>
                  <w:sz w:val="24"/>
                  <w:szCs w:val="24"/>
                  <w:rtl/>
                  <w:lang w:bidi="ar-JO"/>
                </w:rPr>
                <w:t>المقارنة</w:t>
              </w:r>
            </w:hyperlink>
          </w:p>
          <w:p w14:paraId="3C5F4BEF" w14:textId="77777777" w:rsidR="00821780" w:rsidRPr="00B87F1F" w:rsidRDefault="003F3403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hyperlink w:anchor="_5-_الوصول_للبيانات" w:history="1">
              <w:r w:rsidR="00821780" w:rsidRPr="00B87F1F">
                <w:rPr>
                  <w:rStyle w:val="Hyperlink"/>
                  <w:rFonts w:asciiTheme="majorBidi" w:hAnsiTheme="majorBidi" w:cstheme="majorBidi"/>
                  <w:b/>
                  <w:bCs/>
                  <w:color w:val="548DD4" w:themeColor="text2" w:themeTint="99"/>
                  <w:sz w:val="24"/>
                  <w:szCs w:val="24"/>
                  <w:rtl/>
                  <w:lang w:bidi="ar-JO"/>
                </w:rPr>
                <w:t>الوصول للبيانات</w:t>
              </w:r>
            </w:hyperlink>
          </w:p>
        </w:tc>
      </w:tr>
      <w:tr w:rsidR="00C15A49" w:rsidRPr="00B87F1F" w14:paraId="66FD225F" w14:textId="77777777" w:rsidTr="00C15A49">
        <w:tc>
          <w:tcPr>
            <w:tcW w:w="6421" w:type="dxa"/>
          </w:tcPr>
          <w:p w14:paraId="69D6C0B9" w14:textId="77777777" w:rsidR="00821780" w:rsidRPr="00B87F1F" w:rsidRDefault="00821780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085" w:type="dxa"/>
            <w:vMerge/>
          </w:tcPr>
          <w:p w14:paraId="6EAC6720" w14:textId="77777777" w:rsidR="00821780" w:rsidRPr="00B87F1F" w:rsidRDefault="00821780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2FB05272" w14:textId="77777777" w:rsidTr="00C15A49">
        <w:tc>
          <w:tcPr>
            <w:tcW w:w="6421" w:type="dxa"/>
          </w:tcPr>
          <w:p w14:paraId="181C7825" w14:textId="77777777" w:rsidR="00C034C6" w:rsidRPr="00B87F1F" w:rsidRDefault="00C034C6" w:rsidP="00C034C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القطاع (اجتماعي, ا</w:t>
            </w:r>
            <w:r w:rsidR="00C46EAB" w:rsidRPr="00B87F1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قتصادي</w:t>
            </w:r>
            <w:r w:rsidR="00C90DA5" w:rsidRPr="00B87F1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،</w:t>
            </w:r>
            <w:r w:rsidR="00C90DA5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زراعي ..الخ) </w:t>
            </w:r>
          </w:p>
          <w:p w14:paraId="1739F0EC" w14:textId="77777777" w:rsidR="00821780" w:rsidRPr="00B87F1F" w:rsidRDefault="00C034C6" w:rsidP="00C034C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اقتصادي -</w:t>
            </w:r>
            <w:r w:rsidR="009566FD" w:rsidRPr="00B87F1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862379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تقدم صورة شاملة عن الاقتصاد الوطني والتشابكات والترابطات القطاعية والتعاملات التي تجري على المستوى الداخلي والخارجي</w:t>
            </w:r>
            <w:r w:rsidR="00C94F6B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، واعداد مجموعة مترابطة ومتسقة من حسابات الاقتصاد الكلي)</w:t>
            </w:r>
          </w:p>
        </w:tc>
        <w:tc>
          <w:tcPr>
            <w:tcW w:w="3085" w:type="dxa"/>
            <w:vMerge/>
          </w:tcPr>
          <w:p w14:paraId="24DC3A2B" w14:textId="77777777" w:rsidR="00821780" w:rsidRPr="00B87F1F" w:rsidRDefault="00821780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39133119" w14:textId="77777777" w:rsidTr="00C15A49">
        <w:tc>
          <w:tcPr>
            <w:tcW w:w="6421" w:type="dxa"/>
          </w:tcPr>
          <w:p w14:paraId="1A57BC8D" w14:textId="77777777" w:rsidR="00821780" w:rsidRPr="00B87F1F" w:rsidRDefault="00821780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085" w:type="dxa"/>
            <w:vMerge/>
          </w:tcPr>
          <w:p w14:paraId="32E93E99" w14:textId="77777777" w:rsidR="00821780" w:rsidRPr="00B87F1F" w:rsidRDefault="00821780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095FB211" w14:textId="77777777" w:rsidTr="00C15A49">
        <w:tc>
          <w:tcPr>
            <w:tcW w:w="9506" w:type="dxa"/>
            <w:gridSpan w:val="2"/>
          </w:tcPr>
          <w:p w14:paraId="304F6ACB" w14:textId="77777777" w:rsidR="00C034C6" w:rsidRPr="00B87F1F" w:rsidRDefault="00C034C6" w:rsidP="004330D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المديرية – الشخص المعني بالتواصل (المديرية المعنية) </w:t>
            </w:r>
          </w:p>
          <w:p w14:paraId="71C0B7FF" w14:textId="715D2654" w:rsidR="00821780" w:rsidRPr="00B87F1F" w:rsidRDefault="004330DC" w:rsidP="004330D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رئيس قسم المدخلات والمخرجات</w:t>
            </w:r>
            <w:r w:rsidR="0082178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– </w:t>
            </w:r>
            <w:r w:rsidR="008960EF" w:rsidRPr="008960E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السيد مراد بني حمد - تلفون 5300700- فرعي 1413  - </w:t>
            </w:r>
            <w:r w:rsidR="008960EF" w:rsidRPr="008960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>Murad.BaniHamad@DOS.GOV.JO</w:t>
            </w:r>
          </w:p>
        </w:tc>
      </w:tr>
      <w:tr w:rsidR="00C15A49" w:rsidRPr="00B87F1F" w14:paraId="56A27130" w14:textId="77777777" w:rsidTr="00C15A49">
        <w:tc>
          <w:tcPr>
            <w:tcW w:w="6421" w:type="dxa"/>
          </w:tcPr>
          <w:p w14:paraId="373EF68A" w14:textId="77777777" w:rsidR="00011FFC" w:rsidRPr="00B87F1F" w:rsidRDefault="00011FFC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085" w:type="dxa"/>
          </w:tcPr>
          <w:p w14:paraId="0584E71A" w14:textId="77777777" w:rsidR="00011FFC" w:rsidRPr="00B87F1F" w:rsidRDefault="00011FFC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2FE27264" w14:textId="77777777" w:rsidTr="00C15A49">
        <w:tc>
          <w:tcPr>
            <w:tcW w:w="9506" w:type="dxa"/>
            <w:gridSpan w:val="2"/>
          </w:tcPr>
          <w:p w14:paraId="30DD26BD" w14:textId="77777777" w:rsidR="00821780" w:rsidRPr="00B87F1F" w:rsidRDefault="00821780" w:rsidP="00CA01E4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الهدف</w:t>
            </w:r>
            <w:r w:rsidR="00C034C6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والمرجعيات السابقة</w:t>
            </w: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</w:t>
            </w:r>
          </w:p>
          <w:p w14:paraId="2F23F482" w14:textId="77777777" w:rsidR="00C034C6" w:rsidRPr="00B87F1F" w:rsidRDefault="00C034C6" w:rsidP="00CA01E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167DC85" w14:textId="77777777" w:rsidR="00821780" w:rsidRPr="00B87F1F" w:rsidRDefault="00C034C6" w:rsidP="00CA01E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الهدف: </w:t>
            </w:r>
            <w:r w:rsidR="0070446B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تهدف الجداول الى</w:t>
            </w: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تحقيق ما يلي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</w:p>
          <w:p w14:paraId="5883A41F" w14:textId="77777777" w:rsidR="0070446B" w:rsidRPr="00B87F1F" w:rsidRDefault="0070446B" w:rsidP="00B01F56">
            <w:pPr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توفير إطار منهجي لإعداد تقديرات الناتج المحلي الإجمالي وفق نهج الانتاج والدخل والانفاق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>.</w:t>
            </w:r>
          </w:p>
          <w:p w14:paraId="4D3C0FE1" w14:textId="77777777" w:rsidR="00B01F56" w:rsidRPr="00B87F1F" w:rsidRDefault="00B01F56" w:rsidP="00B01F56">
            <w:pPr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تعكس الجداول مدى شمول ودقة البيانات الإحصائية وأو</w:t>
            </w:r>
            <w:bookmarkStart w:id="0" w:name="_GoBack"/>
            <w:bookmarkEnd w:id="0"/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جه قصورها و ومدى الإتساق فيما بينها.</w:t>
            </w:r>
          </w:p>
          <w:p w14:paraId="143A03AE" w14:textId="77777777" w:rsidR="00B01F56" w:rsidRPr="00B87F1F" w:rsidRDefault="00B01F56" w:rsidP="00B01F56">
            <w:pPr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تعتبر جداول  المدخلات والمخرجات أداة تفصيلية هامة للإقتصاديين لما توفره من تفصيلات أكثر للأنشطة المنتجة داخل الإقتصاد و لتحليل الروابط والإعتماد المتبادل بين مختلف القطاعات الإقتصادية المهمة.</w:t>
            </w:r>
          </w:p>
          <w:p w14:paraId="10ABF4FE" w14:textId="77777777" w:rsidR="00CA01E4" w:rsidRPr="00B87F1F" w:rsidRDefault="00CA01E4" w:rsidP="00B01F56">
            <w:pPr>
              <w:ind w:left="7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5520B8D8" w14:textId="77777777" w:rsidTr="00C15A49">
        <w:tc>
          <w:tcPr>
            <w:tcW w:w="6421" w:type="dxa"/>
          </w:tcPr>
          <w:p w14:paraId="1D4B300F" w14:textId="77777777" w:rsidR="00011FFC" w:rsidRPr="00B87F1F" w:rsidRDefault="00B24498" w:rsidP="00C15A49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المرجعية التاريخية:</w:t>
            </w:r>
            <w:r w:rsidR="00DE7BD7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</w:t>
            </w:r>
            <w:r w:rsidR="008839C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(</w:t>
            </w:r>
            <w:r w:rsidR="00C65795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2006</w:t>
            </w:r>
            <w:r w:rsidR="008839C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)</w:t>
            </w:r>
          </w:p>
          <w:p w14:paraId="687F7F19" w14:textId="77777777" w:rsidR="00B24498" w:rsidRPr="00B87F1F" w:rsidRDefault="00B24498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085" w:type="dxa"/>
          </w:tcPr>
          <w:p w14:paraId="7E3BBF24" w14:textId="77777777" w:rsidR="00011FFC" w:rsidRPr="00B87F1F" w:rsidRDefault="00011FFC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567F4520" w14:textId="77777777" w:rsidTr="00C15A49">
        <w:tc>
          <w:tcPr>
            <w:tcW w:w="9506" w:type="dxa"/>
            <w:gridSpan w:val="2"/>
          </w:tcPr>
          <w:p w14:paraId="63601E8B" w14:textId="77777777" w:rsidR="00821780" w:rsidRPr="00B87F1F" w:rsidRDefault="00821780" w:rsidP="00FE51B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المستخدم</w:t>
            </w:r>
            <w:r w:rsidR="00F45859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و</w:t>
            </w: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ن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="00C454FB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متخذي القرار في السياسات الإقتصادية و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الخبراء الاقتصاديين ، والباحثين في المجالات </w:t>
            </w:r>
            <w:r w:rsidR="00C90DA5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الاقتصادية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،</w:t>
            </w:r>
            <w:r w:rsidR="00CA01E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والطلاب و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العاملين في سوق العمل</w:t>
            </w:r>
          </w:p>
          <w:p w14:paraId="79809FCC" w14:textId="77777777" w:rsidR="00821780" w:rsidRPr="00B87F1F" w:rsidRDefault="00821780" w:rsidP="00C454F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التطبيقات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عمليات التخطيط الاقتصادي</w:t>
            </w:r>
            <w:r w:rsidR="00C90DA5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C15A49" w:rsidRPr="00B87F1F" w14:paraId="6D14202C" w14:textId="77777777" w:rsidTr="00C15A49">
        <w:tc>
          <w:tcPr>
            <w:tcW w:w="9506" w:type="dxa"/>
            <w:gridSpan w:val="2"/>
          </w:tcPr>
          <w:p w14:paraId="6B8BCBBE" w14:textId="77777777" w:rsidR="00821780" w:rsidRPr="00B87F1F" w:rsidRDefault="00821780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0D2CC74D" w14:textId="77777777" w:rsidTr="00C15A49">
        <w:tc>
          <w:tcPr>
            <w:tcW w:w="9506" w:type="dxa"/>
            <w:gridSpan w:val="2"/>
          </w:tcPr>
          <w:p w14:paraId="38232468" w14:textId="77777777" w:rsidR="00821780" w:rsidRPr="00B87F1F" w:rsidRDefault="00821780" w:rsidP="004D4CF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المص</w:t>
            </w:r>
            <w:r w:rsidR="004D4CF2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</w:t>
            </w: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در</w:t>
            </w:r>
            <w:r w:rsidR="0008292C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:</w:t>
            </w:r>
            <w:r w:rsidR="008839C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</w:t>
            </w:r>
            <w:r w:rsidR="004D4C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المسوح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4D4C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الإقتصادية والزراعية ومسوحات نفقات ودخل الأسرة ومسوحات قوة العمل والقادمين والمغادرين ، كذلك بيانات قسم التجارة الخارجية في دائرة الإحصاءات العامة .</w:t>
            </w:r>
          </w:p>
          <w:p w14:paraId="37387D54" w14:textId="77777777" w:rsidR="004D4CF2" w:rsidRPr="00B87F1F" w:rsidRDefault="00584D5E" w:rsidP="00C15A4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وكذلك, يوجد مصادر أخرى للبيانات الادارية والتي يمكن الحصول عليها من </w:t>
            </w:r>
            <w:r w:rsidR="004D4C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وزارة المالية</w:t>
            </w:r>
            <w:r w:rsidR="000412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، وزارة البلديات، </w:t>
            </w:r>
            <w:r w:rsidR="004D4C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البنك المركزي</w:t>
            </w:r>
            <w:r w:rsidR="000412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، </w:t>
            </w:r>
            <w:r w:rsidR="004D4C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الموازنة العامة</w:t>
            </w:r>
            <w:r w:rsidR="000412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، دائرة</w:t>
            </w:r>
            <w:r w:rsidR="004D4C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الجمارك و</w:t>
            </w:r>
            <w:r w:rsidR="000412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دائرة</w:t>
            </w:r>
            <w:r w:rsidR="00C15A49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="00C15A49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="004D4C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لضريبة </w:t>
            </w:r>
            <w:r w:rsidR="000412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ومصادر اخرى</w:t>
            </w:r>
          </w:p>
        </w:tc>
      </w:tr>
      <w:tr w:rsidR="00C15A49" w:rsidRPr="00B87F1F" w14:paraId="71061182" w14:textId="77777777" w:rsidTr="00C15A49">
        <w:tc>
          <w:tcPr>
            <w:tcW w:w="6421" w:type="dxa"/>
          </w:tcPr>
          <w:p w14:paraId="09E688E7" w14:textId="77777777" w:rsidR="00821780" w:rsidRPr="00B87F1F" w:rsidRDefault="00821780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085" w:type="dxa"/>
          </w:tcPr>
          <w:p w14:paraId="6C1EB4AC" w14:textId="77777777" w:rsidR="00821780" w:rsidRPr="00B87F1F" w:rsidRDefault="00821780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65D596AB" w14:textId="77777777" w:rsidTr="00C15A49">
        <w:tc>
          <w:tcPr>
            <w:tcW w:w="9506" w:type="dxa"/>
            <w:gridSpan w:val="2"/>
          </w:tcPr>
          <w:p w14:paraId="10DA9F24" w14:textId="77777777" w:rsidR="00821780" w:rsidRPr="00B87F1F" w:rsidRDefault="00821780" w:rsidP="006F688F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الهيئة المخولة </w:t>
            </w:r>
            <w:r w:rsidR="0008292C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بإعداد</w:t>
            </w: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</w:t>
            </w:r>
            <w:r w:rsidR="0008292C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التقرير</w:t>
            </w: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ونشره</w:t>
            </w:r>
            <w:r w:rsidR="008839C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(دائرة الإحصاءات العامة،</w:t>
            </w:r>
            <w:r w:rsidR="00C15A49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</w:t>
            </w:r>
            <w:r w:rsidR="0008292C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مديرية </w:t>
            </w:r>
            <w:r w:rsidR="006F688F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الحسابات القومية</w:t>
            </w:r>
            <w:r w:rsidR="0008292C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،</w:t>
            </w:r>
            <w:r w:rsidR="008839C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</w:t>
            </w:r>
            <w:r w:rsidR="0008292C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قسم </w:t>
            </w:r>
            <w:r w:rsidR="006F688F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المدخلات والمخرجات</w:t>
            </w:r>
            <w:r w:rsidR="008839C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)</w:t>
            </w:r>
          </w:p>
          <w:p w14:paraId="2E17E5BF" w14:textId="77777777" w:rsidR="00821780" w:rsidRPr="00B87F1F" w:rsidRDefault="00821780" w:rsidP="0008292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695719CF" w14:textId="77777777" w:rsidTr="00C15A49">
        <w:trPr>
          <w:trHeight w:val="432"/>
        </w:trPr>
        <w:tc>
          <w:tcPr>
            <w:tcW w:w="6421" w:type="dxa"/>
          </w:tcPr>
          <w:p w14:paraId="4E02067F" w14:textId="77777777" w:rsidR="005A2F56" w:rsidRPr="00B87F1F" w:rsidRDefault="00F11EE6" w:rsidP="005A2F56">
            <w:pPr>
              <w:pStyle w:val="Heading1"/>
              <w:outlineLvl w:val="0"/>
              <w:rPr>
                <w:rFonts w:asciiTheme="majorBidi" w:hAnsi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bookmarkStart w:id="1" w:name="_1._المحتويات"/>
            <w:bookmarkEnd w:id="1"/>
            <w:r w:rsidRPr="00B87F1F">
              <w:rPr>
                <w:rFonts w:asciiTheme="majorBidi" w:hAnsiTheme="majorBidi"/>
                <w:color w:val="000000" w:themeColor="text1"/>
                <w:sz w:val="24"/>
                <w:szCs w:val="24"/>
                <w:rtl/>
                <w:lang w:bidi="ar-JO"/>
              </w:rPr>
              <w:t xml:space="preserve">1. </w:t>
            </w:r>
            <w:r w:rsidRPr="00B87F1F">
              <w:rPr>
                <w:rFonts w:asciiTheme="majorBidi" w:hAnsiTheme="majorBidi"/>
                <w:color w:val="548DD4" w:themeColor="text2" w:themeTint="99"/>
                <w:sz w:val="24"/>
                <w:szCs w:val="24"/>
                <w:rtl/>
                <w:lang w:bidi="ar-JO"/>
              </w:rPr>
              <w:t>المحتويات</w:t>
            </w:r>
          </w:p>
        </w:tc>
        <w:tc>
          <w:tcPr>
            <w:tcW w:w="3085" w:type="dxa"/>
          </w:tcPr>
          <w:p w14:paraId="3EC010F3" w14:textId="77777777" w:rsidR="00B211AB" w:rsidRPr="00B87F1F" w:rsidRDefault="00B211AB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1E7F79AC" w14:textId="77777777" w:rsidTr="00C15A49">
        <w:tc>
          <w:tcPr>
            <w:tcW w:w="9506" w:type="dxa"/>
            <w:gridSpan w:val="2"/>
          </w:tcPr>
          <w:p w14:paraId="4D860ABE" w14:textId="77777777" w:rsidR="00821780" w:rsidRPr="00B87F1F" w:rsidRDefault="00821780" w:rsidP="00245220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1-1 وصف المحتويات </w:t>
            </w:r>
            <w:r w:rsidR="008839C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(تقديم وصف مختصر لما تم نشره في </w:t>
            </w:r>
            <w:r w:rsidR="00245220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التقرير</w:t>
            </w:r>
            <w:r w:rsidR="008839C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)</w:t>
            </w:r>
          </w:p>
          <w:p w14:paraId="2A56EE1F" w14:textId="77777777" w:rsidR="005A2F56" w:rsidRPr="00B87F1F" w:rsidRDefault="00821780" w:rsidP="0024522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يقدم هذا </w:t>
            </w:r>
            <w:r w:rsidR="0008292C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التقرير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  <w:p w14:paraId="63F9DF98" w14:textId="77777777" w:rsidR="003466EA" w:rsidRPr="00B87F1F" w:rsidRDefault="00862379" w:rsidP="00862379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تقدم  الجداول وصفاً إحصائياً للأداء الإقتصادي </w:t>
            </w:r>
            <w:r w:rsidR="00584D5E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: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و توفر بيانات هامة للتحليل </w:t>
            </w:r>
            <w:r w:rsidR="00C15A49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الاقتصادي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الكلي والوقوف على العلاقات التشابكية بين القطاعات الإقتصادية، وتحليل الروابط والإعتماد المتبادل بينها. كما توفر معلومات عن محركات النمو والتشغيل في الإقتصاد.</w:t>
            </w:r>
          </w:p>
          <w:p w14:paraId="0403BD3D" w14:textId="77777777" w:rsidR="00B87EF1" w:rsidRPr="00B87F1F" w:rsidRDefault="00B87EF1" w:rsidP="00B87EF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695137A4" w14:textId="77777777" w:rsidTr="00C15A49">
        <w:tc>
          <w:tcPr>
            <w:tcW w:w="9506" w:type="dxa"/>
            <w:gridSpan w:val="2"/>
          </w:tcPr>
          <w:p w14:paraId="1B6B6AEB" w14:textId="77777777" w:rsidR="0008292C" w:rsidRPr="00B87F1F" w:rsidRDefault="00821780" w:rsidP="0008292C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1-2 تعاريف</w:t>
            </w:r>
            <w:r w:rsidR="00655D45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ومؤشرات</w:t>
            </w: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إحصائية </w:t>
            </w:r>
          </w:p>
          <w:p w14:paraId="02F16C07" w14:textId="77777777" w:rsidR="00A5273B" w:rsidRPr="00B87F1F" w:rsidRDefault="00A5273B" w:rsidP="0008292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2C9F3EE" w14:textId="77777777" w:rsidR="00A5273B" w:rsidRPr="00B87F1F" w:rsidRDefault="00A5273B" w:rsidP="0008292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الانتاج القائم: قيمة السلع والخدمات المنتجة في الاقتصاد الوطني خلال فترة زمنية (بالغالب سنة). </w:t>
            </w:r>
          </w:p>
          <w:p w14:paraId="189FAB76" w14:textId="77777777" w:rsidR="00655D45" w:rsidRPr="00B87F1F" w:rsidRDefault="00AA2D01" w:rsidP="00610D7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الاستهلاك الوسيط من </w:t>
            </w:r>
            <w:r w:rsidR="00610D77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المنتجات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المحلية</w:t>
            </w:r>
            <w:r w:rsidR="00B87EF1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="00C94F6B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قيمة السلع والخدمات المنتجة محليا </w:t>
            </w:r>
            <w:r w:rsidR="00A5273B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</w:t>
            </w:r>
            <w:r w:rsidR="00C94F6B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التي تستهلك كمدخلات لعملية إنتاج.</w:t>
            </w:r>
          </w:p>
          <w:p w14:paraId="4081889B" w14:textId="77777777" w:rsidR="00B87EF1" w:rsidRPr="00B87F1F" w:rsidRDefault="00AA2D01" w:rsidP="00A5273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الاستهلاك الوسيط من المنتجات المستوردة</w:t>
            </w:r>
            <w:r w:rsidR="00B87EF1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="00C94F6B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قيمة السلع والخدمات المستوردة </w:t>
            </w:r>
            <w:r w:rsidR="00A5273B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</w:t>
            </w:r>
            <w:r w:rsidR="00C94F6B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التي تستهلك كمدخلات لعملية إنتاج</w:t>
            </w:r>
            <w:r w:rsidR="00B87EF1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4462841C" w14:textId="77777777" w:rsidR="009B30ED" w:rsidRPr="00B87F1F" w:rsidRDefault="009B30ED" w:rsidP="0014358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>الضرائب على المنتجات المستخدمة في الاستهلاك الوسيط</w:t>
            </w:r>
            <w:r w:rsidR="00B87EF1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="0014358B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الضرائب على المنتجات المستخدمة في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كل صناعة</w:t>
            </w:r>
            <w:r w:rsidR="00610D77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مثل ضريبة المبيعات</w:t>
            </w:r>
          </w:p>
          <w:p w14:paraId="1272F9B8" w14:textId="77777777" w:rsidR="00B87EF1" w:rsidRPr="00B87F1F" w:rsidRDefault="009B30ED" w:rsidP="0014358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610D77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الطلب</w:t>
            </w:r>
            <w:r w:rsidR="00E13C2E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النهائي </w:t>
            </w:r>
            <w:r w:rsidR="00610D77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من المنتجات</w:t>
            </w:r>
            <w:r w:rsidR="00E13C2E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المحلية</w:t>
            </w:r>
            <w:r w:rsidR="00B87EF1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="00E13C2E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استهلاك كل فئه من فئات </w:t>
            </w:r>
            <w:r w:rsidR="00610D77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الطلب </w:t>
            </w:r>
            <w:r w:rsidR="00E13C2E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النهائي </w:t>
            </w:r>
            <w:r w:rsidR="0014358B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="0014358B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من </w:t>
            </w:r>
            <w:r w:rsidR="00610D77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منتجات</w:t>
            </w:r>
            <w:r w:rsidR="00E13C2E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الصناعات</w:t>
            </w:r>
            <w:r w:rsidR="00610D77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المحلية</w:t>
            </w:r>
            <w:r w:rsidR="00B87EF1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5FE2CFA0" w14:textId="77777777" w:rsidR="00B87EF1" w:rsidRPr="00B87F1F" w:rsidRDefault="00610D77" w:rsidP="00610D7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الطلب</w:t>
            </w:r>
            <w:r w:rsidR="002758B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النهائي من المنتجات المستوردة</w:t>
            </w:r>
            <w:r w:rsidR="00B87EF1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="002758B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استهلاك كل فئة من فئات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الطلب</w:t>
            </w:r>
            <w:r w:rsidR="002758B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النهائي من المنتجات المستوردة</w:t>
            </w:r>
            <w:r w:rsidR="00B87EF1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. </w:t>
            </w:r>
          </w:p>
          <w:p w14:paraId="1B44076B" w14:textId="77777777" w:rsidR="00B87EF1" w:rsidRPr="00B87F1F" w:rsidRDefault="00DC6D15" w:rsidP="00610D7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الضرائب على المنتجات </w:t>
            </w:r>
            <w:r w:rsidR="00610D77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المستخدمة للطلب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النهائي</w:t>
            </w:r>
            <w:r w:rsidR="00B87EF1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الضرائب على المنتجات التي تحملتها كل فئه من فئات ال</w:t>
            </w:r>
            <w:r w:rsidR="00610D77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طلب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النهائي</w:t>
            </w:r>
          </w:p>
          <w:p w14:paraId="1BDD42A1" w14:textId="77777777" w:rsidR="007011E6" w:rsidRPr="00B87F1F" w:rsidRDefault="00610D77" w:rsidP="00C15A4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القيم</w:t>
            </w:r>
            <w:r w:rsidR="00C15A49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ة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المضاف</w:t>
            </w:r>
            <w:r w:rsidR="00C15A49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ة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: </w:t>
            </w:r>
            <w:r w:rsidR="00021A8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عبارة عن قيمة الانتاج القائم</w:t>
            </w:r>
            <w:r w:rsidR="00044E17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لكل قطاع</w:t>
            </w:r>
            <w:r w:rsidR="00021A8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مطروحا منه الاستهلاك الوسيط</w:t>
            </w:r>
            <w:r w:rsidR="00044E17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021A8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1251DB28" w14:textId="77777777" w:rsidR="00821780" w:rsidRPr="00B87F1F" w:rsidRDefault="00655D45" w:rsidP="005A2F5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="0082178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C15A49" w:rsidRPr="00B87F1F" w14:paraId="6FEFE74A" w14:textId="77777777" w:rsidTr="00C15A49">
        <w:tc>
          <w:tcPr>
            <w:tcW w:w="9506" w:type="dxa"/>
            <w:gridSpan w:val="2"/>
          </w:tcPr>
          <w:p w14:paraId="6BD06B90" w14:textId="77777777" w:rsidR="003A7DE0" w:rsidRPr="00B87F1F" w:rsidRDefault="003A7DE0" w:rsidP="008839C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lastRenderedPageBreak/>
              <w:t>1-3 المتغيرات (ذكر متغيرات الدراسة الرئيسة للمسح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) </w:t>
            </w:r>
          </w:p>
          <w:p w14:paraId="35BB5D1D" w14:textId="77777777" w:rsidR="003A7DE0" w:rsidRPr="00B87F1F" w:rsidRDefault="00B860F5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جميع ما ورد في الأعلى من متغيرات </w:t>
            </w:r>
          </w:p>
        </w:tc>
      </w:tr>
      <w:tr w:rsidR="00C15A49" w:rsidRPr="00B87F1F" w14:paraId="2395EAB4" w14:textId="77777777" w:rsidTr="00C15A49">
        <w:tc>
          <w:tcPr>
            <w:tcW w:w="9506" w:type="dxa"/>
            <w:gridSpan w:val="2"/>
          </w:tcPr>
          <w:p w14:paraId="61890634" w14:textId="77777777" w:rsidR="003A7DE0" w:rsidRPr="00B87F1F" w:rsidRDefault="003A7DE0" w:rsidP="0054048F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1-4 التصنيفات (ذكر الأساس الذي يتم على أساسه سرد التفاصيل في الجداول)</w:t>
            </w:r>
          </w:p>
          <w:p w14:paraId="60BFF0B3" w14:textId="77777777" w:rsidR="003A7DE0" w:rsidRPr="00B87F1F" w:rsidRDefault="0048493F" w:rsidP="00603E13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التصنيف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الصناعي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الدولي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الموحد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لجميع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الأنشطة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الاقتصادية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التنقيح الرابع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(ISIC4</w:t>
            </w:r>
            <w:r w:rsidR="007011E6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3E81EDE0" w14:textId="77777777" w:rsidR="00603E13" w:rsidRPr="00B87F1F" w:rsidRDefault="00603E13" w:rsidP="00B87F1F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التصنيف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المركزي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للمنتجات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>.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>( CPC 2.1)</w:t>
            </w:r>
          </w:p>
          <w:p w14:paraId="198F84F7" w14:textId="77777777" w:rsidR="00603E13" w:rsidRPr="00B87F1F" w:rsidRDefault="00603E13" w:rsidP="00B87F1F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النظام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المنسق للتجارة الخارجية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>.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>(HS)</w:t>
            </w:r>
          </w:p>
          <w:p w14:paraId="31ECC25C" w14:textId="77777777" w:rsidR="00603E13" w:rsidRPr="00B87F1F" w:rsidRDefault="00603E13" w:rsidP="00B87F1F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تصنيف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الأنشطة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الحكومية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>.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>(COFOG)</w:t>
            </w:r>
          </w:p>
          <w:p w14:paraId="62E919F6" w14:textId="77777777" w:rsidR="00603E13" w:rsidRPr="00B87F1F" w:rsidRDefault="00603E13" w:rsidP="00B87F1F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تصنيف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الإستهلاك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الفردي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حسب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الغرض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>.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>(COICOP)</w:t>
            </w:r>
          </w:p>
        </w:tc>
      </w:tr>
      <w:tr w:rsidR="00C15A49" w:rsidRPr="00B87F1F" w14:paraId="19A6232A" w14:textId="77777777" w:rsidTr="00C15A49">
        <w:tc>
          <w:tcPr>
            <w:tcW w:w="6421" w:type="dxa"/>
          </w:tcPr>
          <w:p w14:paraId="4959CA4A" w14:textId="77777777" w:rsidR="00642753" w:rsidRPr="00B87F1F" w:rsidRDefault="009A0305" w:rsidP="00CC5FDC">
            <w:pPr>
              <w:pStyle w:val="Heading1"/>
              <w:outlineLvl w:val="0"/>
              <w:rPr>
                <w:rFonts w:asciiTheme="majorBidi" w:hAnsi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bookmarkStart w:id="2" w:name="_2-_الوقت"/>
            <w:bookmarkEnd w:id="2"/>
            <w:r w:rsidRPr="00B87F1F">
              <w:rPr>
                <w:rFonts w:asciiTheme="majorBidi" w:hAnsiTheme="majorBidi"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2- الوقت </w:t>
            </w:r>
          </w:p>
        </w:tc>
        <w:tc>
          <w:tcPr>
            <w:tcW w:w="3085" w:type="dxa"/>
          </w:tcPr>
          <w:p w14:paraId="14B25CFD" w14:textId="77777777" w:rsidR="00642753" w:rsidRPr="00B87F1F" w:rsidRDefault="00642753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5CE58849" w14:textId="77777777" w:rsidTr="00C15A49">
        <w:tc>
          <w:tcPr>
            <w:tcW w:w="9506" w:type="dxa"/>
            <w:gridSpan w:val="2"/>
          </w:tcPr>
          <w:p w14:paraId="159FC027" w14:textId="77777777" w:rsidR="003A7DE0" w:rsidRPr="00B87F1F" w:rsidRDefault="003A7DE0" w:rsidP="005A2F56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2-1 الفترة المرجعية</w:t>
            </w:r>
            <w:r w:rsidR="00320B2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:</w:t>
            </w:r>
          </w:p>
          <w:p w14:paraId="2C9B4CFE" w14:textId="77777777" w:rsidR="003A7DE0" w:rsidRPr="00B87F1F" w:rsidRDefault="00A06AFD" w:rsidP="00B87F1F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هذه الجداول يتم إعدادها  بناءً على التوصيات الدولية بفجوة زمنية تتراوح من ثلاث الى خمسة سنوات</w:t>
            </w:r>
            <w:r w:rsidR="00970F13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. </w:t>
            </w:r>
            <w:r w:rsidR="008B3178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970F13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وكانت أول محاولة لبناء جداول المدخلات والمخرجات للإقتصاد الوطني جرت في العام 1987، ثم تم بناء جداول المدخلات والمخرجات لعام 2006 </w:t>
            </w:r>
            <w:r w:rsidR="00882BFF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وكان آخر إصدار للجداول في عام 2021 وذلك لبيانات عام 2016.</w:t>
            </w:r>
          </w:p>
        </w:tc>
      </w:tr>
      <w:tr w:rsidR="00C15A49" w:rsidRPr="00B87F1F" w14:paraId="3CFB9832" w14:textId="77777777" w:rsidTr="00C15A49">
        <w:tc>
          <w:tcPr>
            <w:tcW w:w="9506" w:type="dxa"/>
            <w:gridSpan w:val="2"/>
          </w:tcPr>
          <w:p w14:paraId="6CAA3474" w14:textId="77777777" w:rsidR="003A7DE0" w:rsidRPr="00B87F1F" w:rsidRDefault="003A7DE0" w:rsidP="0054048F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2-2 تاريخ النشر (التاريخ السنوي لنشر هذه البيانات من قبل الدائرة)</w:t>
            </w:r>
          </w:p>
          <w:p w14:paraId="58AB4179" w14:textId="77777777" w:rsidR="003A7DE0" w:rsidRPr="00B87F1F" w:rsidRDefault="00C40A66" w:rsidP="00C2154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يكون نشر الجداول عند الانتهاء من جميع مراحل العمل وتدقيقها .</w:t>
            </w:r>
          </w:p>
        </w:tc>
      </w:tr>
      <w:tr w:rsidR="00C15A49" w:rsidRPr="00B87F1F" w14:paraId="7C3815F6" w14:textId="77777777" w:rsidTr="00C15A49">
        <w:tc>
          <w:tcPr>
            <w:tcW w:w="9506" w:type="dxa"/>
            <w:gridSpan w:val="2"/>
          </w:tcPr>
          <w:p w14:paraId="1B0A9CD2" w14:textId="77777777" w:rsidR="003A7DE0" w:rsidRPr="00B87F1F" w:rsidRDefault="003A7DE0" w:rsidP="0054048F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2-3 الالتزام بالنشر (الالتزام بنشر البيانات في الموعد المحدد)</w:t>
            </w:r>
          </w:p>
          <w:p w14:paraId="012ED1ED" w14:textId="77777777" w:rsidR="003A7DE0" w:rsidRPr="00B87F1F" w:rsidRDefault="00C40A66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لا يوجد التزام بموعد محدد للنشر كون إصدار هذا العمل ليس بالشكل الدوري .</w:t>
            </w:r>
          </w:p>
        </w:tc>
      </w:tr>
      <w:tr w:rsidR="00C15A49" w:rsidRPr="00B87F1F" w14:paraId="279E3EE3" w14:textId="77777777" w:rsidTr="00C15A49">
        <w:tc>
          <w:tcPr>
            <w:tcW w:w="9506" w:type="dxa"/>
            <w:gridSpan w:val="2"/>
          </w:tcPr>
          <w:p w14:paraId="0EAF664C" w14:textId="77777777" w:rsidR="003A7DE0" w:rsidRPr="00B87F1F" w:rsidRDefault="003A7DE0" w:rsidP="00C2154B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2-</w:t>
            </w: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lang w:bidi="ar-JO"/>
              </w:rPr>
              <w:t>4</w:t>
            </w: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التكرار </w:t>
            </w:r>
          </w:p>
          <w:p w14:paraId="79F42E39" w14:textId="77777777" w:rsidR="003A7DE0" w:rsidRPr="00B87F1F" w:rsidRDefault="00C40A66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بحسب التوصيات الدولية تتراوح من 3- 5 سنوات يتوجب إصدار مثل هذه الجداول .</w:t>
            </w:r>
          </w:p>
        </w:tc>
      </w:tr>
      <w:tr w:rsidR="00C15A49" w:rsidRPr="00B87F1F" w14:paraId="206B5DC5" w14:textId="77777777" w:rsidTr="00C15A49">
        <w:tc>
          <w:tcPr>
            <w:tcW w:w="9506" w:type="dxa"/>
            <w:gridSpan w:val="2"/>
          </w:tcPr>
          <w:p w14:paraId="7CDF5FCE" w14:textId="77777777" w:rsidR="003A7DE0" w:rsidRPr="00B87F1F" w:rsidRDefault="003A7DE0" w:rsidP="00C2154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2-5 توفر سلسلة زمنية </w:t>
            </w:r>
          </w:p>
        </w:tc>
      </w:tr>
      <w:tr w:rsidR="00C15A49" w:rsidRPr="00B87F1F" w14:paraId="43AAEE05" w14:textId="77777777" w:rsidTr="00C15A49">
        <w:tc>
          <w:tcPr>
            <w:tcW w:w="9506" w:type="dxa"/>
            <w:gridSpan w:val="2"/>
          </w:tcPr>
          <w:p w14:paraId="51F912D3" w14:textId="77777777" w:rsidR="003A7DE0" w:rsidRPr="00B87F1F" w:rsidRDefault="003A7DE0" w:rsidP="00F757E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تتوفر </w:t>
            </w:r>
            <w:r w:rsidR="00F757E5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عدة إصدارات :</w:t>
            </w:r>
          </w:p>
          <w:p w14:paraId="5B5414B3" w14:textId="77777777" w:rsidR="00F757E5" w:rsidRPr="00B87F1F" w:rsidRDefault="00925A1B" w:rsidP="00925A1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2006 </w:t>
            </w:r>
            <w:r w:rsidR="00F757E5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.2016</w:t>
            </w:r>
          </w:p>
        </w:tc>
      </w:tr>
      <w:tr w:rsidR="00C15A49" w:rsidRPr="00B87F1F" w14:paraId="2657783C" w14:textId="77777777" w:rsidTr="00C15A49">
        <w:tc>
          <w:tcPr>
            <w:tcW w:w="6421" w:type="dxa"/>
          </w:tcPr>
          <w:p w14:paraId="0F7A0B3D" w14:textId="77777777" w:rsidR="00756203" w:rsidRPr="00B87F1F" w:rsidRDefault="00756203" w:rsidP="00CC5FDC">
            <w:pPr>
              <w:pStyle w:val="Heading1"/>
              <w:outlineLvl w:val="0"/>
              <w:rPr>
                <w:rFonts w:asciiTheme="majorBidi" w:hAnsi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bookmarkStart w:id="3" w:name="_3-_مستوى_الدقة"/>
            <w:bookmarkEnd w:id="3"/>
            <w:r w:rsidRPr="00B87F1F">
              <w:rPr>
                <w:rFonts w:asciiTheme="majorBidi" w:hAnsiTheme="majorBidi"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3- مستوى الدقة </w:t>
            </w:r>
          </w:p>
        </w:tc>
        <w:tc>
          <w:tcPr>
            <w:tcW w:w="3085" w:type="dxa"/>
          </w:tcPr>
          <w:p w14:paraId="580DD955" w14:textId="77777777" w:rsidR="00756203" w:rsidRPr="00B87F1F" w:rsidRDefault="00756203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717A680E" w14:textId="77777777" w:rsidTr="00C15A49">
        <w:tc>
          <w:tcPr>
            <w:tcW w:w="9506" w:type="dxa"/>
            <w:gridSpan w:val="2"/>
          </w:tcPr>
          <w:p w14:paraId="04AC4DEC" w14:textId="77777777" w:rsidR="00D03004" w:rsidRPr="00B87F1F" w:rsidRDefault="00D03004" w:rsidP="00C15A49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3-1 الدقة الكلية </w:t>
            </w:r>
            <w:r w:rsidR="0018623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– التقرير التحليلي يعتمد على دقة البيانات من مسح </w:t>
            </w:r>
            <w:r w:rsidR="00C15A49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الاستخدام</w:t>
            </w:r>
            <w:r w:rsidR="001E7FE0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</w:t>
            </w:r>
            <w:r w:rsidR="0018623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و</w:t>
            </w:r>
            <w:r w:rsidR="00C15A49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</w:t>
            </w:r>
            <w:r w:rsidR="0018623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المراجع</w:t>
            </w:r>
            <w:r w:rsidR="00C15A49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ة</w:t>
            </w:r>
            <w:r w:rsidR="0018623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من قبل الفنيين المعنيين في الأدارة العليا </w:t>
            </w:r>
          </w:p>
          <w:p w14:paraId="61360C15" w14:textId="77777777" w:rsidR="00D03004" w:rsidRPr="00B87F1F" w:rsidRDefault="00D03004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عالية جداً</w:t>
            </w:r>
            <w:r w:rsidR="00097039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حيث تخضع جميع البيانات لمراحل تدقيق متعددة ومقارنتها مع العديد من المؤشرات ذات العلاقة . وكذلك الاستعانة بتوصيات وإرشادات مجموعة من الخبراء الدوليين للوقوف على مخرجات العمل . </w:t>
            </w:r>
          </w:p>
        </w:tc>
      </w:tr>
      <w:tr w:rsidR="00C15A49" w:rsidRPr="00B87F1F" w14:paraId="530926D3" w14:textId="77777777" w:rsidTr="00C15A49">
        <w:tc>
          <w:tcPr>
            <w:tcW w:w="9506" w:type="dxa"/>
            <w:gridSpan w:val="2"/>
          </w:tcPr>
          <w:p w14:paraId="7FF6C689" w14:textId="77777777" w:rsidR="00D03004" w:rsidRPr="00B87F1F" w:rsidRDefault="00D03004" w:rsidP="001D7763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3-2 مصادر عدم الدقة </w:t>
            </w:r>
          </w:p>
          <w:p w14:paraId="392B73E0" w14:textId="77777777" w:rsidR="00D03004" w:rsidRPr="00B87F1F" w:rsidRDefault="00925A1B" w:rsidP="00925A1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عدم</w:t>
            </w:r>
            <w:r w:rsidR="00097039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توفر كثير من البيانات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بالشكل المطلوب</w:t>
            </w:r>
            <w:r w:rsidR="00097039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وعدم التغطية المثلى والتأخير في الحصول على جميع بيانات الشركات </w:t>
            </w:r>
            <w:r w:rsidR="001E7FE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  <w:r w:rsidR="00097039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وأحيانا النقص في عدد الكادر الفني في مراحل العمل وقلة التمويل .</w:t>
            </w:r>
          </w:p>
        </w:tc>
      </w:tr>
      <w:tr w:rsidR="00C15A49" w:rsidRPr="00B87F1F" w14:paraId="196A1C25" w14:textId="77777777" w:rsidTr="00C15A49">
        <w:tc>
          <w:tcPr>
            <w:tcW w:w="9506" w:type="dxa"/>
            <w:gridSpan w:val="2"/>
          </w:tcPr>
          <w:p w14:paraId="21234D50" w14:textId="77777777" w:rsidR="003A7DE0" w:rsidRPr="00B87F1F" w:rsidRDefault="003A7DE0" w:rsidP="0054048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3-3 مقاييس الدقة المتوفرة (كيفية الحكم على دقة البيانات بالقياس أو الوصف وفي حال القياس ذكر المقياس المستخدم ونتيجة القياس)</w:t>
            </w:r>
          </w:p>
          <w:p w14:paraId="6259B5AD" w14:textId="77777777" w:rsidR="006F7DE1" w:rsidRPr="00B87F1F" w:rsidRDefault="00AB3F3B" w:rsidP="00DE121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تخضع جميع الأرقام والتقديرات لعمليات تدقيق </w:t>
            </w:r>
          </w:p>
          <w:p w14:paraId="269B8FDB" w14:textId="77777777" w:rsidR="00AB3F3B" w:rsidRPr="00B87F1F" w:rsidRDefault="00AB3F3B" w:rsidP="00DE121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وبناء معدلات نمو ذات سلسلة زمنية طويلة واعتماد </w:t>
            </w:r>
            <w:r w:rsidR="00DE121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المقارنة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بمؤشرات لها نفس الطابع .</w:t>
            </w:r>
          </w:p>
          <w:p w14:paraId="38EA8E83" w14:textId="77777777" w:rsidR="003A7DE0" w:rsidRPr="00B87F1F" w:rsidRDefault="00AB3F3B" w:rsidP="00C15CB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وهنالك مقاييس وصفية بحيث يتم التركيز على المصطلحات والمفاهيم </w:t>
            </w:r>
            <w:r w:rsidR="00C15CB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والالتزام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C15CB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بالمعايير الدولية حسب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نظام الحسابات القومية 2008 .</w:t>
            </w:r>
            <w:r w:rsidR="003A7DE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C15A49" w:rsidRPr="00B87F1F" w14:paraId="10284FBF" w14:textId="77777777" w:rsidTr="00C15A49">
        <w:tc>
          <w:tcPr>
            <w:tcW w:w="6421" w:type="dxa"/>
          </w:tcPr>
          <w:p w14:paraId="16C68824" w14:textId="77777777" w:rsidR="00756203" w:rsidRPr="00B87F1F" w:rsidRDefault="00756203" w:rsidP="00CC5FDC">
            <w:pPr>
              <w:pStyle w:val="Heading1"/>
              <w:outlineLvl w:val="0"/>
              <w:rPr>
                <w:rFonts w:asciiTheme="majorBidi" w:hAnsi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bookmarkStart w:id="4" w:name="_4-_المقارنة"/>
            <w:bookmarkEnd w:id="4"/>
            <w:r w:rsidRPr="00B87F1F">
              <w:rPr>
                <w:rFonts w:asciiTheme="majorBidi" w:hAnsiTheme="majorBidi"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4- المقارنة </w:t>
            </w:r>
          </w:p>
        </w:tc>
        <w:tc>
          <w:tcPr>
            <w:tcW w:w="3085" w:type="dxa"/>
          </w:tcPr>
          <w:p w14:paraId="5961989B" w14:textId="77777777" w:rsidR="00756203" w:rsidRPr="00B87F1F" w:rsidRDefault="00756203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4C157226" w14:textId="77777777" w:rsidTr="00C15A49">
        <w:tc>
          <w:tcPr>
            <w:tcW w:w="9506" w:type="dxa"/>
            <w:gridSpan w:val="2"/>
          </w:tcPr>
          <w:p w14:paraId="75881944" w14:textId="77777777" w:rsidR="00E62141" w:rsidRPr="00B87F1F" w:rsidRDefault="003A7DE0" w:rsidP="00FD14BF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4-1 </w:t>
            </w:r>
            <w:r w:rsidR="00D36B57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هذه الجداول قابلة للمقارنة مع الجداول السابقة</w:t>
            </w:r>
            <w:r w:rsidR="00FD14BF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.</w:t>
            </w:r>
            <w:r w:rsidR="00F5165D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</w:t>
            </w:r>
          </w:p>
          <w:p w14:paraId="013E3F77" w14:textId="77777777" w:rsidR="003A7DE0" w:rsidRPr="00B87F1F" w:rsidRDefault="00F5165D" w:rsidP="000D75C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>ولكن مع</w:t>
            </w:r>
            <w:r w:rsidR="000D75C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تباعد الفترة الزمنية للاصدارات و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تطور شكل الإقتصاد ودخول </w:t>
            </w:r>
            <w:r w:rsidR="002B3108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تحولات جديدة في هيكل الإقتصاد يصعب هنا مجال المقارنة .</w:t>
            </w:r>
            <w:r w:rsidR="003A7DE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C15A49" w:rsidRPr="00B87F1F" w14:paraId="6E477BC9" w14:textId="77777777" w:rsidTr="00C15A49">
        <w:tc>
          <w:tcPr>
            <w:tcW w:w="9506" w:type="dxa"/>
            <w:gridSpan w:val="2"/>
          </w:tcPr>
          <w:p w14:paraId="6DC9054D" w14:textId="77777777" w:rsidR="00C2154B" w:rsidRPr="00B87F1F" w:rsidRDefault="00E77F16" w:rsidP="00C2154B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lastRenderedPageBreak/>
              <w:t>4-2 المقارنة مع الإحصاءات الأخرى</w:t>
            </w:r>
          </w:p>
          <w:p w14:paraId="53DD5D0C" w14:textId="77777777" w:rsidR="00E77F16" w:rsidRPr="00B87F1F" w:rsidRDefault="00E77F16" w:rsidP="009F3C1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هذه </w:t>
            </w:r>
            <w:r w:rsidR="008613D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المخرجات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قابلة للمقارنة مع الإحصاءات الأخرى</w:t>
            </w:r>
            <w:r w:rsidR="008613D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والقريبة جغرافيا حيث يتشابه هيكل الإقتصاد وأنماط السلوك الإقتصادي لدى الأفراد .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9F3C1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مع الاخذ بعين الاعتبار استخدام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نفس التعاريف والتصانيف الدولية</w:t>
            </w:r>
            <w:r w:rsidR="008613D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وجميع القواعد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المتعلقة </w:t>
            </w:r>
            <w:r w:rsidR="008613D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بنظام الحسابات القومية 2008</w:t>
            </w:r>
            <w:r w:rsidR="001E7FE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C15A49" w:rsidRPr="00B87F1F" w14:paraId="0195A168" w14:textId="77777777" w:rsidTr="00C15A49">
        <w:tc>
          <w:tcPr>
            <w:tcW w:w="6421" w:type="dxa"/>
          </w:tcPr>
          <w:p w14:paraId="4764B379" w14:textId="77777777" w:rsidR="00756203" w:rsidRPr="00B87F1F" w:rsidRDefault="009939D4" w:rsidP="00CC5FDC">
            <w:pPr>
              <w:pStyle w:val="Heading1"/>
              <w:outlineLvl w:val="0"/>
              <w:rPr>
                <w:rFonts w:asciiTheme="majorBidi" w:hAnsi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bookmarkStart w:id="5" w:name="_5-_الوصول_للبيانات"/>
            <w:bookmarkEnd w:id="5"/>
            <w:r w:rsidRPr="00B87F1F">
              <w:rPr>
                <w:rFonts w:asciiTheme="majorBidi" w:hAnsiTheme="majorBidi"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5- الوصول للبيانات </w:t>
            </w:r>
          </w:p>
        </w:tc>
        <w:tc>
          <w:tcPr>
            <w:tcW w:w="3085" w:type="dxa"/>
          </w:tcPr>
          <w:p w14:paraId="7D4600B2" w14:textId="77777777" w:rsidR="00756203" w:rsidRPr="00B87F1F" w:rsidRDefault="00756203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7DC9BAE8" w14:textId="77777777" w:rsidTr="00C15A49">
        <w:tc>
          <w:tcPr>
            <w:tcW w:w="9506" w:type="dxa"/>
            <w:gridSpan w:val="2"/>
          </w:tcPr>
          <w:p w14:paraId="645DC641" w14:textId="77777777" w:rsidR="003A7DE0" w:rsidRPr="00B87F1F" w:rsidRDefault="003A7DE0" w:rsidP="00C2154B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5-1 شكل النشر </w:t>
            </w:r>
          </w:p>
          <w:p w14:paraId="7C8BA3A5" w14:textId="77777777" w:rsidR="003A7DE0" w:rsidRPr="00B87F1F" w:rsidRDefault="003A7DE0" w:rsidP="00A162E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تنشر البيانات إلكترونياً على موقع دائرة الإحصاءات العامة </w:t>
            </w:r>
          </w:p>
          <w:p w14:paraId="1411FC29" w14:textId="77777777" w:rsidR="003A7DE0" w:rsidRPr="00B87F1F" w:rsidRDefault="003F3403" w:rsidP="00A162EF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hyperlink w:history="1">
              <w:r w:rsidR="00134326" w:rsidRPr="00B87F1F">
                <w:rPr>
                  <w:rStyle w:val="Hyperlink"/>
                  <w:rFonts w:asciiTheme="majorBidi" w:hAnsiTheme="majorBidi" w:cstheme="majorBidi"/>
                  <w:b/>
                  <w:bCs/>
                  <w:color w:val="548DD4" w:themeColor="text2" w:themeTint="99"/>
                  <w:sz w:val="24"/>
                  <w:szCs w:val="24"/>
                  <w:lang w:bidi="ar-JO"/>
                </w:rPr>
                <w:t>http://www.</w:t>
              </w:r>
              <w:r w:rsidR="00A162EF" w:rsidRPr="00B87F1F">
                <w:rPr>
                  <w:rStyle w:val="Hyperlink"/>
                  <w:rFonts w:asciiTheme="majorBidi" w:hAnsiTheme="majorBidi" w:cstheme="majorBidi"/>
                  <w:b/>
                  <w:bCs/>
                  <w:color w:val="548DD4" w:themeColor="text2" w:themeTint="99"/>
                  <w:sz w:val="24"/>
                  <w:szCs w:val="24"/>
                  <w:lang w:bidi="ar-JO"/>
                </w:rPr>
                <w:t xml:space="preserve"> </w:t>
              </w:r>
              <w:r w:rsidR="00134326" w:rsidRPr="00B87F1F">
                <w:rPr>
                  <w:rStyle w:val="Hyperlink"/>
                  <w:rFonts w:asciiTheme="majorBidi" w:hAnsiTheme="majorBidi" w:cstheme="majorBidi"/>
                  <w:b/>
                  <w:bCs/>
                  <w:color w:val="548DD4" w:themeColor="text2" w:themeTint="99"/>
                  <w:sz w:val="24"/>
                  <w:szCs w:val="24"/>
                  <w:lang w:bidi="ar-JO"/>
                </w:rPr>
                <w:t>dosweb.dos.gov.jo</w:t>
              </w:r>
            </w:hyperlink>
          </w:p>
          <w:p w14:paraId="11037741" w14:textId="77777777" w:rsidR="003A7DE0" w:rsidRPr="00B87F1F" w:rsidRDefault="003A7DE0" w:rsidP="0054048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4D02C198" w14:textId="77777777" w:rsidR="003A7DE0" w:rsidRPr="00B87F1F" w:rsidRDefault="003A7DE0" w:rsidP="0013432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14:paraId="3F145C8E" w14:textId="77777777" w:rsidR="00B237D5" w:rsidRPr="00B87F1F" w:rsidRDefault="00B237D5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JO"/>
        </w:rPr>
      </w:pPr>
    </w:p>
    <w:p w14:paraId="0B2F7A3F" w14:textId="77777777" w:rsidR="00B12518" w:rsidRPr="00B87F1F" w:rsidRDefault="00B12518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JO"/>
        </w:rPr>
      </w:pPr>
    </w:p>
    <w:sectPr w:rsidR="00B12518" w:rsidRPr="00B87F1F" w:rsidSect="00B87F1F">
      <w:footerReference w:type="default" r:id="rId8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96F85" w14:textId="77777777" w:rsidR="003F3403" w:rsidRDefault="003F3403" w:rsidP="000031B4">
      <w:pPr>
        <w:spacing w:after="0" w:line="240" w:lineRule="auto"/>
      </w:pPr>
      <w:r>
        <w:separator/>
      </w:r>
    </w:p>
  </w:endnote>
  <w:endnote w:type="continuationSeparator" w:id="0">
    <w:p w14:paraId="60AE41CE" w14:textId="77777777" w:rsidR="003F3403" w:rsidRDefault="003F3403" w:rsidP="0000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655914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F1A131" w14:textId="0542B168" w:rsidR="000031B4" w:rsidRDefault="000031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0EF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46C1C1F9" w14:textId="77777777" w:rsidR="000031B4" w:rsidRDefault="00003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C96DE" w14:textId="77777777" w:rsidR="003F3403" w:rsidRDefault="003F3403" w:rsidP="000031B4">
      <w:pPr>
        <w:spacing w:after="0" w:line="240" w:lineRule="auto"/>
      </w:pPr>
      <w:r>
        <w:separator/>
      </w:r>
    </w:p>
  </w:footnote>
  <w:footnote w:type="continuationSeparator" w:id="0">
    <w:p w14:paraId="08224DB9" w14:textId="77777777" w:rsidR="003F3403" w:rsidRDefault="003F3403" w:rsidP="00003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5D94"/>
    <w:multiLevelType w:val="hybridMultilevel"/>
    <w:tmpl w:val="71069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3323"/>
    <w:multiLevelType w:val="hybridMultilevel"/>
    <w:tmpl w:val="E3B64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4FB1"/>
    <w:multiLevelType w:val="hybridMultilevel"/>
    <w:tmpl w:val="046C10E8"/>
    <w:lvl w:ilvl="0" w:tplc="C7B4EC8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733B6"/>
    <w:multiLevelType w:val="hybridMultilevel"/>
    <w:tmpl w:val="3F448B1E"/>
    <w:lvl w:ilvl="0" w:tplc="7E0278F0">
      <w:start w:val="1"/>
      <w:numFmt w:val="bullet"/>
      <w:lvlText w:val=""/>
      <w:lvlJc w:val="left"/>
      <w:pPr>
        <w:tabs>
          <w:tab w:val="num" w:pos="1646"/>
        </w:tabs>
        <w:ind w:left="1646" w:hanging="360"/>
      </w:pPr>
      <w:rPr>
        <w:rFonts w:ascii="Symbol" w:hAnsi="Symbol" w:cs="Simplified Arabic" w:hint="default"/>
        <w:b/>
        <w:bCs w:val="0"/>
        <w:iCs w:val="0"/>
        <w:color w:val="auto"/>
        <w:szCs w:val="24"/>
      </w:rPr>
    </w:lvl>
    <w:lvl w:ilvl="1" w:tplc="943A018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bCs w:val="0"/>
        <w:iCs w:val="0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3244BE"/>
    <w:multiLevelType w:val="hybridMultilevel"/>
    <w:tmpl w:val="BBD6ADBC"/>
    <w:lvl w:ilvl="0" w:tplc="8BC2F63E">
      <w:start w:val="1"/>
      <w:numFmt w:val="bullet"/>
      <w:lvlText w:val="←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629928" w:tentative="1">
      <w:start w:val="1"/>
      <w:numFmt w:val="bullet"/>
      <w:lvlText w:val="←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2A036" w:tentative="1">
      <w:start w:val="1"/>
      <w:numFmt w:val="bullet"/>
      <w:lvlText w:val="←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680CD8" w:tentative="1">
      <w:start w:val="1"/>
      <w:numFmt w:val="bullet"/>
      <w:lvlText w:val="←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8EE18" w:tentative="1">
      <w:start w:val="1"/>
      <w:numFmt w:val="bullet"/>
      <w:lvlText w:val="←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EA29A4" w:tentative="1">
      <w:start w:val="1"/>
      <w:numFmt w:val="bullet"/>
      <w:lvlText w:val="←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89AD4" w:tentative="1">
      <w:start w:val="1"/>
      <w:numFmt w:val="bullet"/>
      <w:lvlText w:val="←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64FFE2" w:tentative="1">
      <w:start w:val="1"/>
      <w:numFmt w:val="bullet"/>
      <w:lvlText w:val="←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DC2D2C" w:tentative="1">
      <w:start w:val="1"/>
      <w:numFmt w:val="bullet"/>
      <w:lvlText w:val="←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B92693"/>
    <w:multiLevelType w:val="hybridMultilevel"/>
    <w:tmpl w:val="1C4C1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21306"/>
    <w:multiLevelType w:val="hybridMultilevel"/>
    <w:tmpl w:val="E7765D50"/>
    <w:lvl w:ilvl="0" w:tplc="616CD152">
      <w:start w:val="1"/>
      <w:numFmt w:val="bullet"/>
      <w:lvlText w:val="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  <w:color w:val="632423"/>
        <w:szCs w:val="20"/>
      </w:rPr>
    </w:lvl>
    <w:lvl w:ilvl="1" w:tplc="DF70830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943634"/>
        <w:szCs w:val="20"/>
      </w:rPr>
    </w:lvl>
    <w:lvl w:ilvl="2" w:tplc="E05A5E64">
      <w:start w:val="1"/>
      <w:numFmt w:val="bullet"/>
      <w:lvlText w:val="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32423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24A4E"/>
    <w:multiLevelType w:val="hybridMultilevel"/>
    <w:tmpl w:val="CE0E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F43B6"/>
    <w:multiLevelType w:val="hybridMultilevel"/>
    <w:tmpl w:val="ACAE1E76"/>
    <w:lvl w:ilvl="0" w:tplc="E7F415F8">
      <w:start w:val="1"/>
      <w:numFmt w:val="decimal"/>
      <w:lvlText w:val="%1."/>
      <w:lvlJc w:val="left"/>
      <w:pPr>
        <w:ind w:left="86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9" w15:restartNumberingAfterBreak="0">
    <w:nsid w:val="67033443"/>
    <w:multiLevelType w:val="hybridMultilevel"/>
    <w:tmpl w:val="6382D22A"/>
    <w:lvl w:ilvl="0" w:tplc="152A654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84C43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688AE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40C6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20202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965D4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06E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20543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DCC6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575CC"/>
    <w:multiLevelType w:val="hybridMultilevel"/>
    <w:tmpl w:val="DED04E2C"/>
    <w:lvl w:ilvl="0" w:tplc="EE920344">
      <w:start w:val="1"/>
      <w:numFmt w:val="bullet"/>
      <w:lvlText w:val="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632423"/>
      </w:rPr>
    </w:lvl>
    <w:lvl w:ilvl="1" w:tplc="43BA8662">
      <w:start w:val="1"/>
      <w:numFmt w:val="bullet"/>
      <w:lvlText w:val="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84D7F8B"/>
    <w:multiLevelType w:val="hybridMultilevel"/>
    <w:tmpl w:val="E95E3AD6"/>
    <w:lvl w:ilvl="0" w:tplc="37D07F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D2"/>
    <w:rsid w:val="000031B4"/>
    <w:rsid w:val="00011FFC"/>
    <w:rsid w:val="00021A84"/>
    <w:rsid w:val="000412F2"/>
    <w:rsid w:val="000421C7"/>
    <w:rsid w:val="0004255B"/>
    <w:rsid w:val="00044E17"/>
    <w:rsid w:val="0008292C"/>
    <w:rsid w:val="00084C54"/>
    <w:rsid w:val="000851CD"/>
    <w:rsid w:val="00097039"/>
    <w:rsid w:val="000C219D"/>
    <w:rsid w:val="000D3F52"/>
    <w:rsid w:val="000D4FF6"/>
    <w:rsid w:val="000D75C0"/>
    <w:rsid w:val="000F341D"/>
    <w:rsid w:val="00134326"/>
    <w:rsid w:val="0014358B"/>
    <w:rsid w:val="001732A6"/>
    <w:rsid w:val="001818F9"/>
    <w:rsid w:val="00186234"/>
    <w:rsid w:val="001D4DD6"/>
    <w:rsid w:val="001D7763"/>
    <w:rsid w:val="001E7FE0"/>
    <w:rsid w:val="002134BD"/>
    <w:rsid w:val="00216C58"/>
    <w:rsid w:val="00245220"/>
    <w:rsid w:val="00256129"/>
    <w:rsid w:val="0026632C"/>
    <w:rsid w:val="0027118E"/>
    <w:rsid w:val="002758B4"/>
    <w:rsid w:val="00283F1A"/>
    <w:rsid w:val="002B269C"/>
    <w:rsid w:val="002B3108"/>
    <w:rsid w:val="002D3093"/>
    <w:rsid w:val="00320B24"/>
    <w:rsid w:val="003466EA"/>
    <w:rsid w:val="003A3FF8"/>
    <w:rsid w:val="003A7DE0"/>
    <w:rsid w:val="003F07D2"/>
    <w:rsid w:val="003F3403"/>
    <w:rsid w:val="003F5B41"/>
    <w:rsid w:val="00404CCC"/>
    <w:rsid w:val="004330DC"/>
    <w:rsid w:val="004800BA"/>
    <w:rsid w:val="0048493F"/>
    <w:rsid w:val="004D4CF2"/>
    <w:rsid w:val="005215C6"/>
    <w:rsid w:val="0054048F"/>
    <w:rsid w:val="00584D5E"/>
    <w:rsid w:val="00591EAD"/>
    <w:rsid w:val="005A2F56"/>
    <w:rsid w:val="005C1796"/>
    <w:rsid w:val="005D5C1E"/>
    <w:rsid w:val="005D69A2"/>
    <w:rsid w:val="00603E13"/>
    <w:rsid w:val="00610D77"/>
    <w:rsid w:val="006149A5"/>
    <w:rsid w:val="0063315C"/>
    <w:rsid w:val="00642753"/>
    <w:rsid w:val="00655D45"/>
    <w:rsid w:val="006669AE"/>
    <w:rsid w:val="00666C04"/>
    <w:rsid w:val="006838B7"/>
    <w:rsid w:val="006C2A7A"/>
    <w:rsid w:val="006F5894"/>
    <w:rsid w:val="006F688F"/>
    <w:rsid w:val="006F7DE1"/>
    <w:rsid w:val="007011E6"/>
    <w:rsid w:val="00702271"/>
    <w:rsid w:val="0070446B"/>
    <w:rsid w:val="00726A3A"/>
    <w:rsid w:val="00756203"/>
    <w:rsid w:val="007B76B6"/>
    <w:rsid w:val="007D0DEA"/>
    <w:rsid w:val="00821780"/>
    <w:rsid w:val="008613D0"/>
    <w:rsid w:val="00862379"/>
    <w:rsid w:val="00882BFF"/>
    <w:rsid w:val="00883553"/>
    <w:rsid w:val="008839C4"/>
    <w:rsid w:val="008960EF"/>
    <w:rsid w:val="008B3178"/>
    <w:rsid w:val="008F4F8C"/>
    <w:rsid w:val="00925A1B"/>
    <w:rsid w:val="009566FD"/>
    <w:rsid w:val="00962F60"/>
    <w:rsid w:val="00970F13"/>
    <w:rsid w:val="00975568"/>
    <w:rsid w:val="00992CA4"/>
    <w:rsid w:val="009939D4"/>
    <w:rsid w:val="009A0305"/>
    <w:rsid w:val="009B30ED"/>
    <w:rsid w:val="009E14CB"/>
    <w:rsid w:val="009F3C14"/>
    <w:rsid w:val="00A06AFD"/>
    <w:rsid w:val="00A162EF"/>
    <w:rsid w:val="00A37D0E"/>
    <w:rsid w:val="00A438DB"/>
    <w:rsid w:val="00A4728E"/>
    <w:rsid w:val="00A5273B"/>
    <w:rsid w:val="00A639CE"/>
    <w:rsid w:val="00A8575E"/>
    <w:rsid w:val="00AA2D01"/>
    <w:rsid w:val="00AB3F3B"/>
    <w:rsid w:val="00B01F56"/>
    <w:rsid w:val="00B12518"/>
    <w:rsid w:val="00B211AB"/>
    <w:rsid w:val="00B237D5"/>
    <w:rsid w:val="00B24498"/>
    <w:rsid w:val="00B40F8F"/>
    <w:rsid w:val="00B5606F"/>
    <w:rsid w:val="00B64614"/>
    <w:rsid w:val="00B860F5"/>
    <w:rsid w:val="00B87EF1"/>
    <w:rsid w:val="00B87F1F"/>
    <w:rsid w:val="00B92C59"/>
    <w:rsid w:val="00B961F8"/>
    <w:rsid w:val="00BA0538"/>
    <w:rsid w:val="00BC3447"/>
    <w:rsid w:val="00BE20EC"/>
    <w:rsid w:val="00C034C6"/>
    <w:rsid w:val="00C15A49"/>
    <w:rsid w:val="00C15CB4"/>
    <w:rsid w:val="00C2154B"/>
    <w:rsid w:val="00C40A66"/>
    <w:rsid w:val="00C454FB"/>
    <w:rsid w:val="00C4573A"/>
    <w:rsid w:val="00C46EAB"/>
    <w:rsid w:val="00C62BFF"/>
    <w:rsid w:val="00C62D32"/>
    <w:rsid w:val="00C65795"/>
    <w:rsid w:val="00C67591"/>
    <w:rsid w:val="00C72B85"/>
    <w:rsid w:val="00C90DA5"/>
    <w:rsid w:val="00C94F6B"/>
    <w:rsid w:val="00CA01E4"/>
    <w:rsid w:val="00CA4651"/>
    <w:rsid w:val="00CB06DC"/>
    <w:rsid w:val="00CB1E00"/>
    <w:rsid w:val="00CC5FDC"/>
    <w:rsid w:val="00D03004"/>
    <w:rsid w:val="00D16AE1"/>
    <w:rsid w:val="00D36B57"/>
    <w:rsid w:val="00D50625"/>
    <w:rsid w:val="00D671E1"/>
    <w:rsid w:val="00D73E05"/>
    <w:rsid w:val="00D845BD"/>
    <w:rsid w:val="00DC6D15"/>
    <w:rsid w:val="00DE1214"/>
    <w:rsid w:val="00DE53E5"/>
    <w:rsid w:val="00DE7BD7"/>
    <w:rsid w:val="00DF2D4B"/>
    <w:rsid w:val="00E13C2E"/>
    <w:rsid w:val="00E177AA"/>
    <w:rsid w:val="00E62141"/>
    <w:rsid w:val="00E75E1B"/>
    <w:rsid w:val="00E77F16"/>
    <w:rsid w:val="00E83A63"/>
    <w:rsid w:val="00E96E1D"/>
    <w:rsid w:val="00EA40EB"/>
    <w:rsid w:val="00EE0FC7"/>
    <w:rsid w:val="00F11EE6"/>
    <w:rsid w:val="00F1397F"/>
    <w:rsid w:val="00F151C0"/>
    <w:rsid w:val="00F45859"/>
    <w:rsid w:val="00F5165D"/>
    <w:rsid w:val="00F642AA"/>
    <w:rsid w:val="00F757E5"/>
    <w:rsid w:val="00FD14BF"/>
    <w:rsid w:val="00FE51B7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3BFF"/>
  <w15:docId w15:val="{FCE9B1FF-FCFF-44C6-8242-59DF98DB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9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F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CC5FD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B4"/>
  </w:style>
  <w:style w:type="paragraph" w:styleId="Footer">
    <w:name w:val="footer"/>
    <w:basedOn w:val="Normal"/>
    <w:link w:val="Foot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B4"/>
  </w:style>
  <w:style w:type="paragraph" w:styleId="BalloonText">
    <w:name w:val="Balloon Text"/>
    <w:basedOn w:val="Normal"/>
    <w:link w:val="BalloonTextChar"/>
    <w:uiPriority w:val="99"/>
    <w:semiHidden/>
    <w:unhideWhenUsed/>
    <w:rsid w:val="008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7982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2131">
          <w:marLeft w:val="0"/>
          <w:marRight w:val="70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79A7-5963-4BF6-BCD8-F8B037BB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KHALAF</dc:creator>
  <cp:lastModifiedBy>Murad Bani Hamad</cp:lastModifiedBy>
  <cp:revision>3</cp:revision>
  <cp:lastPrinted>2022-03-24T09:56:00Z</cp:lastPrinted>
  <dcterms:created xsi:type="dcterms:W3CDTF">2023-03-21T08:37:00Z</dcterms:created>
  <dcterms:modified xsi:type="dcterms:W3CDTF">2023-07-18T08:58:00Z</dcterms:modified>
</cp:coreProperties>
</file>