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B" w:rsidRDefault="00DE53AB" w:rsidP="00DE53AB">
      <w:pPr>
        <w:bidi w:val="0"/>
        <w:jc w:val="center"/>
        <w:rPr>
          <w:rFonts w:cstheme="minorHAnsi"/>
          <w:b/>
          <w:bCs/>
          <w:sz w:val="24"/>
          <w:szCs w:val="24"/>
          <w:lang w:bidi="ar-JO"/>
        </w:rPr>
      </w:pPr>
      <w:r w:rsidRPr="00C341F6">
        <w:rPr>
          <w:rFonts w:cstheme="minorHAnsi"/>
          <w:b/>
          <w:bCs/>
          <w:sz w:val="24"/>
          <w:szCs w:val="24"/>
          <w:lang w:bidi="ar-JO"/>
        </w:rPr>
        <w:t xml:space="preserve">Explanatory Document </w:t>
      </w:r>
      <w:r>
        <w:rPr>
          <w:rFonts w:cstheme="minorHAnsi"/>
          <w:b/>
          <w:bCs/>
          <w:sz w:val="24"/>
          <w:szCs w:val="24"/>
          <w:lang w:bidi="ar-JO"/>
        </w:rPr>
        <w:t>on</w:t>
      </w:r>
      <w:r w:rsidRPr="00C341F6">
        <w:rPr>
          <w:rFonts w:cstheme="minorHAnsi"/>
          <w:b/>
          <w:bCs/>
          <w:sz w:val="24"/>
          <w:szCs w:val="24"/>
          <w:lang w:bidi="ar-JO"/>
        </w:rPr>
        <w:t xml:space="preserve"> the Published Data</w:t>
      </w:r>
    </w:p>
    <w:tbl>
      <w:tblPr>
        <w:tblStyle w:val="TableGrid"/>
        <w:tblW w:w="0" w:type="auto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4027"/>
      </w:tblGrid>
      <w:tr w:rsidR="00DE53AB" w:rsidTr="00AD2E7D">
        <w:trPr>
          <w:jc w:val="center"/>
        </w:trPr>
        <w:tc>
          <w:tcPr>
            <w:tcW w:w="6038" w:type="dxa"/>
            <w:hideMark/>
          </w:tcPr>
          <w:p w:rsidR="00DE53AB" w:rsidRDefault="00DE53AB" w:rsidP="00AD2E7D">
            <w:pPr>
              <w:bidi w:val="0"/>
              <w:rPr>
                <w:rFonts w:cstheme="minorHAnsi"/>
                <w:b/>
                <w:bCs/>
                <w:color w:val="4F81BD" w:themeColor="accent1"/>
                <w:lang w:bidi="ar-JO"/>
              </w:rPr>
            </w:pPr>
            <w:r>
              <w:rPr>
                <w:rFonts w:cstheme="minorHAnsi"/>
                <w:b/>
                <w:bCs/>
                <w:color w:val="4F81BD" w:themeColor="accent1"/>
                <w:lang w:bidi="ar-JO"/>
              </w:rPr>
              <w:t>Name (please insert survey name)</w:t>
            </w:r>
          </w:p>
          <w:p w:rsidR="00DE53AB" w:rsidRPr="00150BD5" w:rsidRDefault="00DE53AB" w:rsidP="00DE53AB">
            <w:pPr>
              <w:bidi w:val="0"/>
              <w:rPr>
                <w:b/>
                <w:bCs/>
                <w:color w:val="4F81BD" w:themeColor="accent1"/>
                <w:rtl/>
                <w:lang w:bidi="ar-JO"/>
              </w:rPr>
            </w:pPr>
            <w:bookmarkStart w:id="0" w:name="_GoBack"/>
            <w:r>
              <w:rPr>
                <w:rFonts w:cs="Times New Roman" w:hint="cs"/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  <w:r w:rsidRPr="00150BD5">
              <w:rPr>
                <w:rFonts w:eastAsia="Times New Roman" w:cstheme="minorHAnsi"/>
                <w:b/>
                <w:bCs/>
                <w:sz w:val="24"/>
                <w:szCs w:val="24"/>
                <w:lang w:eastAsia="ar-SA" w:bidi="ar-JO"/>
              </w:rPr>
              <w:t xml:space="preserve">Survey of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ar-SA" w:bidi="ar-JO"/>
              </w:rPr>
              <w:t xml:space="preserve">Employment and Unemployment 2015 </w:t>
            </w:r>
            <w:bookmarkEnd w:id="0"/>
          </w:p>
        </w:tc>
        <w:tc>
          <w:tcPr>
            <w:tcW w:w="4027" w:type="dxa"/>
            <w:vMerge w:val="restart"/>
            <w:hideMark/>
          </w:tcPr>
          <w:p w:rsidR="00DE53AB" w:rsidRDefault="00DE53AB" w:rsidP="00AD2E7D">
            <w:pPr>
              <w:bidi w:val="0"/>
              <w:rPr>
                <w:rFonts w:cstheme="minorHAnsi"/>
                <w:color w:val="0070C0"/>
                <w:u w:val="single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Content </w:t>
            </w:r>
          </w:p>
          <w:p w:rsidR="00DE53AB" w:rsidRDefault="00DE53AB" w:rsidP="00AD2E7D">
            <w:pPr>
              <w:bidi w:val="0"/>
              <w:rPr>
                <w:rFonts w:cstheme="minorHAnsi"/>
                <w:color w:val="0070C0"/>
                <w:u w:val="single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Time </w:t>
            </w:r>
          </w:p>
          <w:p w:rsidR="00DE53AB" w:rsidRDefault="00DE53AB" w:rsidP="00AD2E7D">
            <w:pPr>
              <w:bidi w:val="0"/>
              <w:rPr>
                <w:rFonts w:cstheme="minorHAnsi"/>
                <w:color w:val="0070C0"/>
                <w:u w:val="single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Accuracy </w:t>
            </w:r>
          </w:p>
          <w:p w:rsidR="00DE53AB" w:rsidRDefault="00DE53AB" w:rsidP="00AD2E7D">
            <w:pPr>
              <w:bidi w:val="0"/>
              <w:rPr>
                <w:rFonts w:cstheme="minorHAnsi"/>
                <w:color w:val="0070C0"/>
                <w:u w:val="single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Comparability </w:t>
            </w:r>
          </w:p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rFonts w:cstheme="minorHAnsi"/>
                <w:color w:val="0070C0"/>
                <w:u w:val="single"/>
              </w:rPr>
              <w:t>Data Accessibility</w:t>
            </w:r>
          </w:p>
        </w:tc>
      </w:tr>
      <w:tr w:rsidR="00DE53AB" w:rsidTr="00AD2E7D">
        <w:trPr>
          <w:jc w:val="center"/>
        </w:trPr>
        <w:tc>
          <w:tcPr>
            <w:tcW w:w="6038" w:type="dxa"/>
          </w:tcPr>
          <w:p w:rsidR="00DE53AB" w:rsidRDefault="00DE53AB" w:rsidP="00AD2E7D">
            <w:pPr>
              <w:bidi w:val="0"/>
              <w:rPr>
                <w:rFonts w:cstheme="minorHAnsi"/>
                <w:b/>
                <w:bCs/>
                <w:lang w:bidi="ar-JO"/>
              </w:rPr>
            </w:pPr>
          </w:p>
        </w:tc>
        <w:tc>
          <w:tcPr>
            <w:tcW w:w="4027" w:type="dxa"/>
            <w:vMerge/>
            <w:vAlign w:val="center"/>
            <w:hideMark/>
          </w:tcPr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6038" w:type="dxa"/>
            <w:hideMark/>
          </w:tcPr>
          <w:p w:rsidR="00DE53AB" w:rsidRDefault="00DE53AB" w:rsidP="00AD2E7D">
            <w:pPr>
              <w:bidi w:val="0"/>
              <w:rPr>
                <w:rFonts w:cstheme="minorHAnsi"/>
                <w:b/>
                <w:bCs/>
                <w:color w:val="4F81BD" w:themeColor="accent1"/>
                <w:lang w:bidi="ar-JO"/>
              </w:rPr>
            </w:pPr>
            <w:r>
              <w:rPr>
                <w:rFonts w:cstheme="majorBidi"/>
                <w:b/>
                <w:bCs/>
                <w:color w:val="4F81BD" w:themeColor="accent1"/>
                <w:lang w:bidi="ar-JO"/>
              </w:rPr>
              <w:t xml:space="preserve">Sector: </w:t>
            </w:r>
          </w:p>
          <w:p w:rsidR="00DE53AB" w:rsidRDefault="00DE53AB" w:rsidP="00AD2E7D">
            <w:pPr>
              <w:bidi w:val="0"/>
              <w:rPr>
                <w:rFonts w:cstheme="minorHAnsi"/>
                <w:lang w:bidi="ar-JO"/>
              </w:rPr>
            </w:pPr>
            <w:r>
              <w:rPr>
                <w:rFonts w:cstheme="majorBidi"/>
                <w:lang w:bidi="ar-JO"/>
              </w:rPr>
              <w:t>Labor Market</w:t>
            </w:r>
            <w:r w:rsidRPr="00C341F6">
              <w:rPr>
                <w:rFonts w:cstheme="majorBidi"/>
                <w:lang w:bidi="ar-JO"/>
              </w:rPr>
              <w:t xml:space="preserve"> statistics</w:t>
            </w:r>
          </w:p>
        </w:tc>
        <w:tc>
          <w:tcPr>
            <w:tcW w:w="4027" w:type="dxa"/>
            <w:vMerge/>
            <w:vAlign w:val="center"/>
            <w:hideMark/>
          </w:tcPr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6038" w:type="dxa"/>
          </w:tcPr>
          <w:p w:rsidR="00DE53AB" w:rsidRDefault="00DE53AB" w:rsidP="00AD2E7D">
            <w:pPr>
              <w:bidi w:val="0"/>
              <w:rPr>
                <w:rFonts w:cstheme="minorHAnsi"/>
                <w:b/>
                <w:bCs/>
                <w:lang w:bidi="ar-JO"/>
              </w:rPr>
            </w:pPr>
          </w:p>
        </w:tc>
        <w:tc>
          <w:tcPr>
            <w:tcW w:w="4027" w:type="dxa"/>
            <w:vMerge/>
            <w:vAlign w:val="center"/>
            <w:hideMark/>
          </w:tcPr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Directorate and contact person </w:t>
            </w:r>
          </w:p>
          <w:p w:rsidR="00DE53AB" w:rsidRDefault="00DE53AB" w:rsidP="00AD2E7D">
            <w:pPr>
              <w:bidi w:val="0"/>
              <w:rPr>
                <w:rFonts w:cstheme="minorHAnsi"/>
                <w:lang w:bidi="ar-JO"/>
              </w:rPr>
            </w:pPr>
            <w:r w:rsidRPr="00C0519C">
              <w:rPr>
                <w:rFonts w:cstheme="minorHAnsi"/>
                <w:lang w:bidi="ar-JO"/>
              </w:rPr>
              <w:t xml:space="preserve">Household </w:t>
            </w:r>
            <w:r w:rsidRPr="009434EF">
              <w:rPr>
                <w:rFonts w:cstheme="minorHAnsi"/>
                <w:lang w:bidi="ar-JO"/>
              </w:rPr>
              <w:t>Surveys Directorate</w:t>
            </w:r>
          </w:p>
          <w:p w:rsidR="00DE53AB" w:rsidRDefault="00DE53AB" w:rsidP="00AD2E7D">
            <w:pPr>
              <w:bidi w:val="0"/>
              <w:rPr>
                <w:rFonts w:cstheme="minorHAnsi"/>
                <w:lang w:bidi="ar-JO"/>
              </w:rPr>
            </w:pPr>
            <w:r>
              <w:rPr>
                <w:rFonts w:cstheme="minorHAnsi"/>
                <w:lang w:bidi="ar-JO"/>
              </w:rPr>
              <w:t xml:space="preserve">Labor Force Section </w:t>
            </w:r>
          </w:p>
          <w:p w:rsidR="00DE53AB" w:rsidRDefault="00DE53AB" w:rsidP="00AD2E7D">
            <w:pPr>
              <w:bidi w:val="0"/>
              <w:rPr>
                <w:rFonts w:cstheme="minorHAnsi"/>
                <w:lang w:bidi="ar-JO"/>
              </w:rPr>
            </w:pPr>
            <w:proofErr w:type="spellStart"/>
            <w:r>
              <w:rPr>
                <w:rFonts w:cstheme="minorHAnsi"/>
                <w:lang w:bidi="ar-JO"/>
              </w:rPr>
              <w:t>Amer</w:t>
            </w:r>
            <w:proofErr w:type="spellEnd"/>
            <w:r>
              <w:rPr>
                <w:rFonts w:cstheme="minorHAnsi"/>
                <w:lang w:bidi="ar-JO"/>
              </w:rPr>
              <w:t xml:space="preserve"> Al-</w:t>
            </w:r>
            <w:proofErr w:type="spellStart"/>
            <w:r>
              <w:rPr>
                <w:rFonts w:cstheme="minorHAnsi"/>
                <w:lang w:bidi="ar-JO"/>
              </w:rPr>
              <w:t>Jammal</w:t>
            </w:r>
            <w:proofErr w:type="spellEnd"/>
            <w:r>
              <w:rPr>
                <w:rFonts w:cstheme="minorHAnsi"/>
                <w:lang w:bidi="ar-JO"/>
              </w:rPr>
              <w:t xml:space="preserve"> </w:t>
            </w:r>
          </w:p>
          <w:p w:rsidR="00DE53AB" w:rsidRDefault="00DE53AB" w:rsidP="00AD2E7D">
            <w:pPr>
              <w:bidi w:val="0"/>
              <w:rPr>
                <w:rFonts w:cstheme="minorHAnsi"/>
                <w:lang w:bidi="ar-JO"/>
              </w:rPr>
            </w:pPr>
            <w:r>
              <w:rPr>
                <w:rFonts w:cstheme="minorHAnsi"/>
                <w:lang w:bidi="ar-JO"/>
              </w:rPr>
              <w:t xml:space="preserve">Tel: 5300700 – ext. 1227 </w:t>
            </w:r>
          </w:p>
          <w:p w:rsidR="00DE53AB" w:rsidRDefault="00DE53AB" w:rsidP="00AD2E7D">
            <w:pPr>
              <w:bidi w:val="0"/>
              <w:rPr>
                <w:rFonts w:cstheme="minorHAnsi"/>
                <w:lang w:bidi="ar-JO"/>
              </w:rPr>
            </w:pPr>
            <w:r>
              <w:rPr>
                <w:rFonts w:cstheme="minorHAnsi"/>
                <w:lang w:bidi="ar-JO"/>
              </w:rPr>
              <w:t xml:space="preserve">Email address: </w:t>
            </w:r>
            <w:hyperlink r:id="rId6" w:history="1">
              <w:r w:rsidRPr="00887452">
                <w:rPr>
                  <w:rStyle w:val="Hyperlink"/>
                </w:rPr>
                <w:t>Amer.AlJammal@DOS.GOV.JO</w:t>
              </w:r>
            </w:hyperlink>
            <w:r>
              <w:t xml:space="preserve"> </w:t>
            </w:r>
          </w:p>
        </w:tc>
      </w:tr>
      <w:tr w:rsidR="00DE53AB" w:rsidTr="00AD2E7D">
        <w:trPr>
          <w:jc w:val="center"/>
        </w:trPr>
        <w:tc>
          <w:tcPr>
            <w:tcW w:w="6038" w:type="dxa"/>
          </w:tcPr>
          <w:p w:rsidR="00DE53AB" w:rsidRDefault="00DE53AB" w:rsidP="00AD2E7D">
            <w:pPr>
              <w:bidi w:val="0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27" w:type="dxa"/>
          </w:tcPr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Purpose and historical reference </w:t>
            </w:r>
          </w:p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Purpose: </w:t>
            </w:r>
            <w:r>
              <w:rPr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DE53AB" w:rsidRDefault="00DE53AB" w:rsidP="00AD2E7D">
            <w:p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rtl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The survey of animal production inputs aims to: </w:t>
            </w:r>
          </w:p>
          <w:p w:rsidR="00DE53AB" w:rsidRDefault="00DE53AB" w:rsidP="00DE53AB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Identification of demographic, economic and social characteristics of </w:t>
            </w:r>
            <w:r>
              <w:rPr>
                <w:rFonts w:eastAsia="Arial Unicode MS" w:cstheme="minorHAnsi"/>
                <w:lang w:eastAsia="ar-SA"/>
              </w:rPr>
              <w:t>populations and labor forces</w:t>
            </w:r>
            <w:r>
              <w:rPr>
                <w:rFonts w:eastAsia="Arial Unicode MS" w:cstheme="minorHAnsi"/>
                <w:lang w:eastAsia="ar-SA"/>
              </w:rPr>
              <w:t xml:space="preserve">; </w:t>
            </w:r>
          </w:p>
          <w:p w:rsidR="00DE53AB" w:rsidRDefault="00DE53AB" w:rsidP="00DE53AB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Identification of </w:t>
            </w:r>
            <w:r>
              <w:rPr>
                <w:rFonts w:eastAsia="Arial Unicode MS" w:cstheme="minorHAnsi"/>
                <w:lang w:eastAsia="ar-SA"/>
              </w:rPr>
              <w:t>occupational composition, economic activity and practical conditions of employed individuals</w:t>
            </w:r>
            <w:r>
              <w:rPr>
                <w:rFonts w:eastAsia="Arial Unicode MS" w:cstheme="minorHAnsi"/>
                <w:lang w:eastAsia="ar-SA"/>
              </w:rPr>
              <w:t xml:space="preserve">; </w:t>
            </w:r>
          </w:p>
          <w:p w:rsidR="00DE53AB" w:rsidRDefault="00DE53AB" w:rsidP="004D6A5C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Identification of the </w:t>
            </w:r>
            <w:r w:rsidR="004D6A5C">
              <w:rPr>
                <w:rFonts w:eastAsia="Arial Unicode MS" w:cstheme="minorHAnsi"/>
                <w:lang w:eastAsia="ar-SA"/>
              </w:rPr>
              <w:t>reasons that prompted employed individuals to search for new or additional job</w:t>
            </w:r>
            <w:r>
              <w:rPr>
                <w:rFonts w:eastAsia="Arial Unicode MS" w:cstheme="minorHAnsi"/>
                <w:lang w:eastAsia="ar-SA"/>
              </w:rPr>
              <w:t xml:space="preserve">. </w:t>
            </w:r>
          </w:p>
          <w:p w:rsidR="00DE53AB" w:rsidRDefault="004D6A5C" w:rsidP="00AD2E7D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>Measuring the rates of participation in economic activity i.e. labor force proportioned to the total population aged 15 years and above</w:t>
            </w:r>
            <w:r w:rsidR="00DE53AB">
              <w:rPr>
                <w:rFonts w:eastAsia="Arial Unicode MS" w:cstheme="minorHAnsi"/>
                <w:lang w:eastAsia="ar-SA"/>
              </w:rPr>
              <w:t xml:space="preserve">; </w:t>
            </w:r>
          </w:p>
          <w:p w:rsidR="00DE53AB" w:rsidRDefault="004D6A5C" w:rsidP="00AD2E7D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>Identification of various characteristics of unemployed individuals</w:t>
            </w:r>
            <w:r w:rsidR="00DE53AB">
              <w:rPr>
                <w:rFonts w:eastAsia="Arial Unicode MS" w:cstheme="minorHAnsi"/>
                <w:lang w:eastAsia="ar-SA"/>
              </w:rPr>
              <w:t xml:space="preserve">; </w:t>
            </w:r>
          </w:p>
          <w:p w:rsidR="004D6A5C" w:rsidRDefault="004D6A5C" w:rsidP="00AD2E7D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>Measuring the rats of unemployment (i.e. the total number of unemployed individuals proportioned to the total of economically active population)</w:t>
            </w:r>
            <w:r w:rsidR="00DE53AB">
              <w:rPr>
                <w:rFonts w:eastAsia="Arial Unicode MS" w:cstheme="minorHAnsi"/>
                <w:lang w:eastAsia="ar-SA"/>
              </w:rPr>
              <w:t>.</w:t>
            </w:r>
          </w:p>
          <w:p w:rsidR="004D6A5C" w:rsidRDefault="004D6A5C" w:rsidP="004D6A5C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Identification of the most important methods and ways adopted by unemployed person to secure a job or employment, in addition to measuring the unemployment period of those persons. </w:t>
            </w:r>
          </w:p>
          <w:p w:rsidR="00E112B4" w:rsidRDefault="00E112B4" w:rsidP="004D6A5C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Identification of changes caused to these variables throughout years. </w:t>
            </w:r>
          </w:p>
          <w:p w:rsidR="00DE53AB" w:rsidRPr="009F0C75" w:rsidRDefault="00DE53AB" w:rsidP="00E112B4">
            <w:pPr>
              <w:pStyle w:val="ListParagraph"/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  </w:t>
            </w:r>
          </w:p>
        </w:tc>
      </w:tr>
      <w:tr w:rsidR="00DE53AB" w:rsidTr="00AD2E7D">
        <w:trPr>
          <w:trHeight w:val="657"/>
          <w:jc w:val="center"/>
        </w:trPr>
        <w:tc>
          <w:tcPr>
            <w:tcW w:w="6038" w:type="dxa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Historical reference (please indicate the year the  survey started) </w:t>
            </w:r>
          </w:p>
          <w:p w:rsidR="00DE53AB" w:rsidRDefault="00DE53AB" w:rsidP="00E112B4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 xml:space="preserve">The survey was conducted in 2014 on </w:t>
            </w:r>
            <w:r w:rsidR="00E112B4">
              <w:rPr>
                <w:lang w:bidi="ar-JO"/>
              </w:rPr>
              <w:t xml:space="preserve">four </w:t>
            </w:r>
            <w:r w:rsidR="00DB5991">
              <w:rPr>
                <w:lang w:bidi="ar-JO"/>
              </w:rPr>
              <w:t xml:space="preserve">quarterly rounds. </w:t>
            </w:r>
            <w:r>
              <w:rPr>
                <w:lang w:bidi="ar-JO"/>
              </w:rPr>
              <w:t xml:space="preserve"> </w:t>
            </w:r>
          </w:p>
        </w:tc>
        <w:tc>
          <w:tcPr>
            <w:tcW w:w="4027" w:type="dxa"/>
          </w:tcPr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Users and Applications: </w:t>
            </w:r>
            <w:r>
              <w:rPr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DE53AB" w:rsidRDefault="00DE53AB" w:rsidP="00DB5991">
            <w:pPr>
              <w:bidi w:val="0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 xml:space="preserve">Users: economic and social experts and researchers in economic, demographic and social fields in both private and public sectors, in addition to regional and international organization. </w:t>
            </w:r>
          </w:p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Applications: agricultural, economic and social planning and development of labor market policies. 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</w:tcPr>
          <w:p w:rsidR="00DE53AB" w:rsidRDefault="00DE53AB" w:rsidP="00AD2E7D">
            <w:pPr>
              <w:bidi w:val="0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lastRenderedPageBreak/>
              <w:t>Source (please write all data resources)</w:t>
            </w:r>
          </w:p>
          <w:p w:rsidR="00DE53AB" w:rsidRDefault="00DE53AB" w:rsidP="00DB5991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 xml:space="preserve">Data is collected by means of an biannual survey conducted on </w:t>
            </w:r>
            <w:r w:rsidR="00DB5991">
              <w:rPr>
                <w:lang w:bidi="ar-JO"/>
              </w:rPr>
              <w:t>four</w:t>
            </w:r>
            <w:r>
              <w:rPr>
                <w:lang w:bidi="ar-JO"/>
              </w:rPr>
              <w:t xml:space="preserve"> rounds</w:t>
            </w:r>
            <w:r w:rsidR="00DB5991">
              <w:rPr>
                <w:lang w:bidi="ar-JO"/>
              </w:rPr>
              <w:t>, a survey every 3 months</w:t>
            </w:r>
          </w:p>
        </w:tc>
      </w:tr>
      <w:tr w:rsidR="00DE53AB" w:rsidTr="00AD2E7D">
        <w:trPr>
          <w:jc w:val="center"/>
        </w:trPr>
        <w:tc>
          <w:tcPr>
            <w:tcW w:w="6038" w:type="dxa"/>
          </w:tcPr>
          <w:p w:rsidR="00DE53AB" w:rsidRDefault="00DE53AB" w:rsidP="00AD2E7D">
            <w:pPr>
              <w:bidi w:val="0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27" w:type="dxa"/>
          </w:tcPr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Authorized organization to collect and publish data</w:t>
            </w:r>
          </w:p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 xml:space="preserve">Department of Statistics, as per law no. 12/2012. </w:t>
            </w:r>
          </w:p>
        </w:tc>
      </w:tr>
      <w:tr w:rsidR="00DE53AB" w:rsidTr="00AD2E7D">
        <w:trPr>
          <w:jc w:val="center"/>
        </w:trPr>
        <w:tc>
          <w:tcPr>
            <w:tcW w:w="6038" w:type="dxa"/>
            <w:hideMark/>
          </w:tcPr>
          <w:p w:rsidR="00DE53AB" w:rsidRDefault="00DE53AB" w:rsidP="00AD2E7D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1" w:name="_1._المحتويات"/>
            <w:bookmarkEnd w:id="1"/>
            <w:r>
              <w:rPr>
                <w:lang w:bidi="ar-JO"/>
              </w:rPr>
              <w:t xml:space="preserve">1. Contents </w:t>
            </w:r>
          </w:p>
        </w:tc>
        <w:tc>
          <w:tcPr>
            <w:tcW w:w="4027" w:type="dxa"/>
          </w:tcPr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1-1 Content description </w:t>
            </w:r>
          </w:p>
          <w:p w:rsidR="00DE53AB" w:rsidRPr="0004567D" w:rsidRDefault="00DE53AB" w:rsidP="00953A0B">
            <w:pPr>
              <w:bidi w:val="0"/>
              <w:rPr>
                <w:rFonts w:eastAsia="Times New Roman" w:cstheme="minorHAnsi"/>
                <w:noProof/>
                <w:sz w:val="32"/>
                <w:szCs w:val="32"/>
                <w:lang w:eastAsia="ar-SA"/>
              </w:rPr>
            </w:pPr>
            <w:r>
              <w:rPr>
                <w:lang w:bidi="ar-JO"/>
              </w:rPr>
              <w:t xml:space="preserve">This survey provides detailed data on the various characteristics of individuals in general, and on the demographic, social and economic characteristics of </w:t>
            </w:r>
            <w:r w:rsidR="00953A0B">
              <w:rPr>
                <w:lang w:bidi="ar-JO"/>
              </w:rPr>
              <w:t xml:space="preserve">economically active </w:t>
            </w:r>
            <w:r>
              <w:rPr>
                <w:lang w:bidi="ar-JO"/>
              </w:rPr>
              <w:t>individuals (</w:t>
            </w:r>
            <w:r w:rsidR="00953A0B">
              <w:rPr>
                <w:lang w:bidi="ar-JO"/>
              </w:rPr>
              <w:t>employed and unemployed</w:t>
            </w:r>
            <w:r>
              <w:rPr>
                <w:lang w:bidi="ar-JO"/>
              </w:rPr>
              <w:t>)</w:t>
            </w:r>
            <w:r w:rsidR="00953A0B">
              <w:rPr>
                <w:lang w:bidi="ar-JO"/>
              </w:rPr>
              <w:t>, and characteristics of economically non-active individuals</w:t>
            </w:r>
            <w:r>
              <w:rPr>
                <w:lang w:bidi="ar-JO"/>
              </w:rPr>
              <w:t xml:space="preserve">. 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3-1 variables </w:t>
            </w:r>
          </w:p>
          <w:p w:rsidR="00DE53AB" w:rsidRDefault="00DE53AB" w:rsidP="00AD2E7D">
            <w:pPr>
              <w:bidi w:val="0"/>
              <w:spacing w:before="120" w:after="120"/>
              <w:jc w:val="both"/>
              <w:rPr>
                <w:rFonts w:cstheme="minorHAnsi"/>
                <w:sz w:val="24"/>
                <w:szCs w:val="24"/>
                <w:lang w:bidi="ar-JO"/>
              </w:rPr>
            </w:pPr>
            <w:r>
              <w:rPr>
                <w:rFonts w:cstheme="minorHAnsi"/>
                <w:sz w:val="24"/>
                <w:szCs w:val="24"/>
                <w:lang w:bidi="ar-JO"/>
              </w:rPr>
              <w:t xml:space="preserve">Variables include the following: </w:t>
            </w:r>
          </w:p>
          <w:p w:rsidR="00DE53AB" w:rsidRDefault="00DE53AB" w:rsidP="00AD2E7D">
            <w:pPr>
              <w:pStyle w:val="ListParagraph"/>
              <w:numPr>
                <w:ilvl w:val="0"/>
                <w:numId w:val="2"/>
              </w:numPr>
              <w:bidi w:val="0"/>
              <w:spacing w:before="120" w:after="120"/>
              <w:jc w:val="both"/>
              <w:rPr>
                <w:lang w:bidi="ar-JO"/>
              </w:rPr>
            </w:pPr>
            <w:r>
              <w:rPr>
                <w:lang w:bidi="ar-JO"/>
              </w:rPr>
              <w:t xml:space="preserve">Identification data per individual </w:t>
            </w:r>
          </w:p>
          <w:p w:rsidR="00DE53AB" w:rsidRDefault="00DE53AB" w:rsidP="00AD2E7D">
            <w:pPr>
              <w:pStyle w:val="ListParagraph"/>
              <w:numPr>
                <w:ilvl w:val="0"/>
                <w:numId w:val="2"/>
              </w:numPr>
              <w:bidi w:val="0"/>
              <w:spacing w:before="120" w:after="120"/>
              <w:jc w:val="both"/>
              <w:rPr>
                <w:lang w:bidi="ar-JO"/>
              </w:rPr>
            </w:pPr>
            <w:r>
              <w:rPr>
                <w:lang w:bidi="ar-JO"/>
              </w:rPr>
              <w:t xml:space="preserve">Demographic data </w:t>
            </w:r>
          </w:p>
          <w:p w:rsidR="00DE53AB" w:rsidRDefault="00DE53AB" w:rsidP="00AD2E7D">
            <w:pPr>
              <w:pStyle w:val="ListParagraph"/>
              <w:numPr>
                <w:ilvl w:val="0"/>
                <w:numId w:val="2"/>
              </w:numPr>
              <w:bidi w:val="0"/>
              <w:spacing w:before="120" w:after="120"/>
              <w:jc w:val="both"/>
              <w:rPr>
                <w:lang w:bidi="ar-JO"/>
              </w:rPr>
            </w:pPr>
            <w:r>
              <w:rPr>
                <w:lang w:bidi="ar-JO"/>
              </w:rPr>
              <w:t xml:space="preserve">Educational data </w:t>
            </w:r>
          </w:p>
          <w:p w:rsidR="00DE53AB" w:rsidRDefault="00DE53AB" w:rsidP="00AD2E7D">
            <w:pPr>
              <w:pStyle w:val="ListParagraph"/>
              <w:numPr>
                <w:ilvl w:val="0"/>
                <w:numId w:val="2"/>
              </w:numPr>
              <w:bidi w:val="0"/>
              <w:spacing w:before="120" w:after="120"/>
              <w:jc w:val="both"/>
              <w:rPr>
                <w:lang w:bidi="ar-JO"/>
              </w:rPr>
            </w:pPr>
            <w:r>
              <w:rPr>
                <w:lang w:bidi="ar-JO"/>
              </w:rPr>
              <w:t xml:space="preserve">Economic data </w:t>
            </w:r>
          </w:p>
          <w:p w:rsidR="00DE53AB" w:rsidRDefault="00DE53AB" w:rsidP="00953A0B">
            <w:pPr>
              <w:bidi w:val="0"/>
              <w:spacing w:before="120" w:after="120"/>
              <w:ind w:left="360"/>
              <w:jc w:val="both"/>
              <w:rPr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4-1 Classifications (basis of details in the tables) </w:t>
            </w:r>
          </w:p>
          <w:p w:rsidR="00DE53AB" w:rsidRDefault="00DE53AB" w:rsidP="00953A0B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Published tables are based on publishing the data according to the </w:t>
            </w:r>
            <w:r w:rsidR="00953A0B">
              <w:rPr>
                <w:lang w:bidi="ar-JO"/>
              </w:rPr>
              <w:t xml:space="preserve">field collection, processing and dissemination of data. </w:t>
            </w:r>
            <w:r>
              <w:rPr>
                <w:lang w:bidi="ar-JO"/>
              </w:rPr>
              <w:t xml:space="preserve">    </w:t>
            </w:r>
          </w:p>
        </w:tc>
      </w:tr>
      <w:tr w:rsidR="00DE53AB" w:rsidTr="00AD2E7D">
        <w:trPr>
          <w:jc w:val="center"/>
        </w:trPr>
        <w:tc>
          <w:tcPr>
            <w:tcW w:w="6038" w:type="dxa"/>
            <w:hideMark/>
          </w:tcPr>
          <w:p w:rsidR="00DE53AB" w:rsidRDefault="00DE53AB" w:rsidP="00AD2E7D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2" w:name="_2-_الوقت"/>
            <w:bookmarkEnd w:id="2"/>
            <w:r>
              <w:rPr>
                <w:lang w:bidi="ar-JO"/>
              </w:rPr>
              <w:t xml:space="preserve">2- Time </w:t>
            </w:r>
          </w:p>
        </w:tc>
        <w:tc>
          <w:tcPr>
            <w:tcW w:w="4027" w:type="dxa"/>
          </w:tcPr>
          <w:p w:rsidR="00DE53AB" w:rsidRDefault="00DE53AB" w:rsidP="00AD2E7D">
            <w:pPr>
              <w:bidi w:val="0"/>
              <w:rPr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2-1 reference period (during which the data is collected)</w:t>
            </w:r>
          </w:p>
          <w:p w:rsidR="00DE53AB" w:rsidRDefault="00DE53AB" w:rsidP="00953A0B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survey </w:t>
            </w:r>
            <w:r w:rsidR="00953A0B">
              <w:rPr>
                <w:lang w:bidi="ar-JO"/>
              </w:rPr>
              <w:t>will be</w:t>
            </w:r>
            <w:r>
              <w:rPr>
                <w:lang w:bidi="ar-JO"/>
              </w:rPr>
              <w:t xml:space="preserve"> conducted throughou</w:t>
            </w:r>
            <w:r w:rsidR="00953A0B">
              <w:rPr>
                <w:lang w:bidi="ar-JO"/>
              </w:rPr>
              <w:t>t the whole months of the year 1-12 on four quarterly rounds</w:t>
            </w:r>
            <w:r>
              <w:rPr>
                <w:lang w:bidi="ar-JO"/>
              </w:rPr>
              <w:t xml:space="preserve"> 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2-2 date of dissemination </w:t>
            </w:r>
          </w:p>
          <w:p w:rsidR="00DE53AB" w:rsidRDefault="00DE53AB" w:rsidP="00953A0B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First round </w:t>
            </w:r>
            <w:r w:rsidR="00953A0B">
              <w:rPr>
                <w:lang w:bidi="ar-JO"/>
              </w:rPr>
              <w:t>22/04/2015</w:t>
            </w:r>
          </w:p>
          <w:p w:rsidR="00953A0B" w:rsidRDefault="00DE53AB" w:rsidP="00953A0B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Second round </w:t>
            </w:r>
            <w:r w:rsidR="00953A0B">
              <w:rPr>
                <w:lang w:bidi="ar-JO"/>
              </w:rPr>
              <w:t>22/07/2015</w:t>
            </w:r>
          </w:p>
          <w:p w:rsidR="00953A0B" w:rsidRDefault="00953A0B" w:rsidP="00953A0B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Third round 21/10/2015</w:t>
            </w:r>
          </w:p>
          <w:p w:rsidR="00DE53AB" w:rsidRDefault="00953A0B" w:rsidP="00953A0B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>Fourth round 21/01/2016</w:t>
            </w:r>
            <w:r w:rsidR="00DE53AB">
              <w:rPr>
                <w:lang w:bidi="ar-JO"/>
              </w:rPr>
              <w:t xml:space="preserve"> 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3-2 commitment to date of dissemination</w:t>
            </w:r>
          </w:p>
          <w:p w:rsidR="00DE53AB" w:rsidRDefault="00DE53AB" w:rsidP="00AD2E7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Publication is carried out immediately upon the completion of office preparation for each round. 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4-2 periodicity </w:t>
            </w:r>
          </w:p>
          <w:p w:rsidR="00DE53AB" w:rsidRDefault="006F0650" w:rsidP="00AD2E7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Quarterly (every three months) </w:t>
            </w:r>
            <w:r w:rsidR="00DE53AB">
              <w:rPr>
                <w:lang w:bidi="ar-JO"/>
              </w:rPr>
              <w:t xml:space="preserve">  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5-2 availability of time series (mention available time series of this survey)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6F0650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 xml:space="preserve">There is a time series of annual surveys from </w:t>
            </w:r>
            <w:r w:rsidR="006F0650">
              <w:rPr>
                <w:lang w:bidi="ar-JO"/>
              </w:rPr>
              <w:t>2000</w:t>
            </w:r>
            <w:r>
              <w:rPr>
                <w:lang w:bidi="ar-JO"/>
              </w:rPr>
              <w:t xml:space="preserve"> – 2014.</w:t>
            </w:r>
          </w:p>
        </w:tc>
      </w:tr>
      <w:tr w:rsidR="00DE53AB" w:rsidTr="00AD2E7D">
        <w:trPr>
          <w:jc w:val="center"/>
        </w:trPr>
        <w:tc>
          <w:tcPr>
            <w:tcW w:w="6038" w:type="dxa"/>
            <w:hideMark/>
          </w:tcPr>
          <w:p w:rsidR="00DE53AB" w:rsidRDefault="00DE53AB" w:rsidP="00AD2E7D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3" w:name="_3-_مستوى_الدقة"/>
            <w:bookmarkEnd w:id="3"/>
            <w:r>
              <w:rPr>
                <w:lang w:bidi="ar-JO"/>
              </w:rPr>
              <w:t xml:space="preserve">3- Accuracy </w:t>
            </w:r>
          </w:p>
        </w:tc>
        <w:tc>
          <w:tcPr>
            <w:tcW w:w="4027" w:type="dxa"/>
          </w:tcPr>
          <w:p w:rsidR="00DE53AB" w:rsidRDefault="00DE53AB" w:rsidP="00AD2E7D">
            <w:pPr>
              <w:bidi w:val="0"/>
              <w:rPr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3-1 overall accuracy (very high if all items in checklist are implemented, high if two thirds are implemented, medium if less than half the items are implemented)</w:t>
            </w:r>
          </w:p>
          <w:p w:rsidR="00DE53AB" w:rsidRDefault="00DE53AB" w:rsidP="00AD2E7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Very high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3-2 sources of inaccuracy </w:t>
            </w:r>
          </w:p>
          <w:p w:rsidR="00DE53AB" w:rsidRDefault="00DE53AB" w:rsidP="00AD2E7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Errors of lack of inspection 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lastRenderedPageBreak/>
              <w:t xml:space="preserve">3-3 available accuracy measures </w:t>
            </w:r>
          </w:p>
          <w:p w:rsidR="00DE53AB" w:rsidRDefault="00DE53AB" w:rsidP="00AD2E7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Descriptive accuracy measures </w:t>
            </w:r>
          </w:p>
        </w:tc>
      </w:tr>
      <w:tr w:rsidR="00DE53AB" w:rsidTr="00AD2E7D">
        <w:trPr>
          <w:jc w:val="center"/>
        </w:trPr>
        <w:tc>
          <w:tcPr>
            <w:tcW w:w="6038" w:type="dxa"/>
            <w:hideMark/>
          </w:tcPr>
          <w:p w:rsidR="00DE53AB" w:rsidRDefault="00DE53AB" w:rsidP="00AD2E7D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4" w:name="_4-_المقارنة"/>
            <w:bookmarkEnd w:id="4"/>
            <w:r>
              <w:rPr>
                <w:lang w:bidi="ar-JO"/>
              </w:rPr>
              <w:t xml:space="preserve">4- Comparability </w:t>
            </w:r>
          </w:p>
        </w:tc>
        <w:tc>
          <w:tcPr>
            <w:tcW w:w="4027" w:type="dxa"/>
          </w:tcPr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4-1 comparability over time  (ability to compare data with previously published data)</w:t>
            </w:r>
          </w:p>
          <w:p w:rsidR="00DE53AB" w:rsidRDefault="00DE53AB" w:rsidP="006F0650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data is comparable with previously published data, due to using the same methodology and application of international standards. </w:t>
            </w: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4-2comparability with other statistics (ability to compare data with figures in other surveys, and with other countries)</w:t>
            </w:r>
          </w:p>
          <w:p w:rsidR="00DE53AB" w:rsidRDefault="00DE53AB" w:rsidP="00AD2E7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data is comparable with other statistics, which use the same international standards and classifications relative to employment and unemployment.  </w:t>
            </w:r>
          </w:p>
        </w:tc>
      </w:tr>
      <w:tr w:rsidR="00DE53AB" w:rsidTr="00AD2E7D">
        <w:trPr>
          <w:jc w:val="center"/>
        </w:trPr>
        <w:tc>
          <w:tcPr>
            <w:tcW w:w="6038" w:type="dxa"/>
            <w:hideMark/>
          </w:tcPr>
          <w:p w:rsidR="00DE53AB" w:rsidRDefault="00DE53AB" w:rsidP="00AD2E7D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5" w:name="_5-_الوصول_للبيانات"/>
            <w:bookmarkEnd w:id="5"/>
            <w:r>
              <w:rPr>
                <w:lang w:bidi="ar-JO"/>
              </w:rPr>
              <w:t xml:space="preserve">5- Data accessibility </w:t>
            </w:r>
          </w:p>
        </w:tc>
        <w:tc>
          <w:tcPr>
            <w:tcW w:w="4027" w:type="dxa"/>
          </w:tcPr>
          <w:p w:rsidR="00DE53AB" w:rsidRDefault="00DE53AB" w:rsidP="00AD2E7D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DE53AB" w:rsidTr="00AD2E7D">
        <w:trPr>
          <w:jc w:val="center"/>
        </w:trPr>
        <w:tc>
          <w:tcPr>
            <w:tcW w:w="10065" w:type="dxa"/>
            <w:gridSpan w:val="2"/>
            <w:hideMark/>
          </w:tcPr>
          <w:p w:rsidR="00DE53AB" w:rsidRDefault="00DE53AB" w:rsidP="00AD2E7D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5-1 publication formats (how can the user access the data, e.g. DOS website, paper copies, etc</w:t>
            </w:r>
            <w:proofErr w:type="gramStart"/>
            <w:r>
              <w:rPr>
                <w:b/>
                <w:bCs/>
                <w:color w:val="4F81BD" w:themeColor="accent1"/>
                <w:lang w:bidi="ar-JO"/>
              </w:rPr>
              <w:t>..)</w:t>
            </w:r>
            <w:proofErr w:type="gramEnd"/>
            <w:r>
              <w:rPr>
                <w:b/>
                <w:bCs/>
                <w:color w:val="4F81BD" w:themeColor="accent1"/>
                <w:lang w:bidi="ar-JO"/>
              </w:rPr>
              <w:t xml:space="preserve"> </w:t>
            </w:r>
          </w:p>
          <w:p w:rsidR="00DE53AB" w:rsidRDefault="00DE53AB" w:rsidP="00AD2E7D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data is published in printed and electronic format on DOS website. </w:t>
            </w:r>
          </w:p>
        </w:tc>
      </w:tr>
    </w:tbl>
    <w:p w:rsidR="00DE53AB" w:rsidRPr="00C341F6" w:rsidRDefault="00DE53AB" w:rsidP="00DE53AB">
      <w:pPr>
        <w:bidi w:val="0"/>
        <w:rPr>
          <w:lang w:bidi="ar-JO"/>
        </w:rPr>
      </w:pPr>
    </w:p>
    <w:p w:rsidR="00DE53AB" w:rsidRPr="00B635D8" w:rsidRDefault="00DE53AB" w:rsidP="00DE53AB">
      <w:pPr>
        <w:rPr>
          <w:rtl/>
        </w:rPr>
      </w:pPr>
    </w:p>
    <w:p w:rsidR="00DE53AB" w:rsidRPr="00C0519C" w:rsidRDefault="00DE53AB" w:rsidP="00DE53AB"/>
    <w:p w:rsidR="006215E9" w:rsidRPr="00DE53AB" w:rsidRDefault="006215E9" w:rsidP="00DE53AB">
      <w:pPr>
        <w:rPr>
          <w:rFonts w:hint="cs"/>
          <w:rtl/>
          <w:lang w:bidi="ar-JO"/>
        </w:rPr>
      </w:pPr>
    </w:p>
    <w:sectPr w:rsidR="006215E9" w:rsidRPr="00DE53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4405E"/>
    <w:multiLevelType w:val="hybridMultilevel"/>
    <w:tmpl w:val="B48283DA"/>
    <w:lvl w:ilvl="0" w:tplc="D1227F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10BCA"/>
    <w:multiLevelType w:val="hybridMultilevel"/>
    <w:tmpl w:val="DD48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D7"/>
    <w:rsid w:val="001B61D7"/>
    <w:rsid w:val="002042B3"/>
    <w:rsid w:val="004D6A5C"/>
    <w:rsid w:val="006215E9"/>
    <w:rsid w:val="006F0650"/>
    <w:rsid w:val="00953A0B"/>
    <w:rsid w:val="00DB5991"/>
    <w:rsid w:val="00DE53AB"/>
    <w:rsid w:val="00E1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A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E53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53AB"/>
    <w:pPr>
      <w:ind w:left="720"/>
      <w:contextualSpacing/>
    </w:pPr>
  </w:style>
  <w:style w:type="table" w:styleId="TableGrid">
    <w:name w:val="Table Grid"/>
    <w:basedOn w:val="TableNormal"/>
    <w:uiPriority w:val="59"/>
    <w:rsid w:val="00DE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5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A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E53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53AB"/>
    <w:pPr>
      <w:ind w:left="720"/>
      <w:contextualSpacing/>
    </w:pPr>
  </w:style>
  <w:style w:type="table" w:styleId="TableGrid">
    <w:name w:val="Table Grid"/>
    <w:basedOn w:val="TableNormal"/>
    <w:uiPriority w:val="59"/>
    <w:rsid w:val="00DE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5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r.AlJammal@DOS.GOV.J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00962-777-668-915</dc:creator>
  <cp:keywords/>
  <dc:description/>
  <cp:lastModifiedBy>Omar 00962-777-668-915</cp:lastModifiedBy>
  <cp:revision>4</cp:revision>
  <dcterms:created xsi:type="dcterms:W3CDTF">2015-02-02T02:11:00Z</dcterms:created>
  <dcterms:modified xsi:type="dcterms:W3CDTF">2015-02-02T02:29:00Z</dcterms:modified>
</cp:coreProperties>
</file>