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9AE" w:rsidRPr="00340AAE" w:rsidRDefault="00C24910" w:rsidP="00847F51">
      <w:pPr>
        <w:spacing w:line="240" w:lineRule="auto"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340AAE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وثيقة توضيحية للبيانات الم</w:t>
      </w:r>
      <w:r w:rsidR="002B7384" w:rsidRPr="00340AAE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نشور</w:t>
      </w:r>
      <w:r w:rsidRPr="00340AAE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</w:t>
      </w:r>
    </w:p>
    <w:tbl>
      <w:tblPr>
        <w:tblStyle w:val="TableGrid"/>
        <w:bidiVisual/>
        <w:tblW w:w="12514" w:type="dxa"/>
        <w:tblInd w:w="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1899"/>
        <w:gridCol w:w="2095"/>
        <w:gridCol w:w="990"/>
        <w:gridCol w:w="2097"/>
      </w:tblGrid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الاسم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:</w:t>
            </w:r>
            <w:r w:rsidR="00FB13EA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المسوح الاقتصادية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/ مسح </w:t>
            </w:r>
            <w:r w:rsidR="00D66929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المالية والتأمين</w:t>
            </w:r>
          </w:p>
        </w:tc>
        <w:tc>
          <w:tcPr>
            <w:tcW w:w="3994" w:type="dxa"/>
            <w:gridSpan w:val="2"/>
            <w:vMerge w:val="restart"/>
          </w:tcPr>
          <w:p w:rsidR="00821780" w:rsidRPr="00340AAE" w:rsidRDefault="00DE015A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1._المحتويات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المحتويات</w:t>
              </w:r>
            </w:hyperlink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DE015A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2-_الوقت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الوقت</w:t>
              </w:r>
            </w:hyperlink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DE015A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3-_مستوى_الدقة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الدقة</w:t>
              </w:r>
            </w:hyperlink>
          </w:p>
          <w:p w:rsidR="00821780" w:rsidRPr="00340AAE" w:rsidRDefault="00DE015A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4-_المقارنة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المقارنة</w:t>
              </w:r>
            </w:hyperlink>
          </w:p>
          <w:p w:rsidR="00821780" w:rsidRPr="00340AAE" w:rsidRDefault="00DE015A" w:rsidP="003E42A2">
            <w:pPr>
              <w:ind w:firstLine="1451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hyperlink w:anchor="_5-_الوصول_للبيانات" w:history="1">
              <w:r w:rsidR="00821780" w:rsidRPr="00340AAE">
                <w:rPr>
                  <w:rStyle w:val="Hyperlink"/>
                  <w:rFonts w:ascii="Traditional Arabic" w:hAnsi="Traditional Arabic" w:cs="Traditional Arabic"/>
                  <w:color w:val="auto"/>
                  <w:sz w:val="32"/>
                  <w:szCs w:val="32"/>
                  <w:rtl/>
                  <w:lang w:bidi="ar-JO"/>
                </w:rPr>
                <w:t>الوصول للبيانات</w:t>
              </w:r>
            </w:hyperlink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المجال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إحصاءات 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اقتصادية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3994" w:type="dxa"/>
            <w:gridSpan w:val="2"/>
            <w:vMerge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94" w:type="dxa"/>
            <w:gridSpan w:val="2"/>
            <w:vMerge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2B7384" w:rsidRPr="00340AAE" w:rsidRDefault="002B7384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الشخص المسؤول و</w:t>
            </w:r>
            <w:r w:rsidR="00B24498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المديرية</w:t>
            </w:r>
          </w:p>
          <w:p w:rsidR="00821780" w:rsidRPr="00340AAE" w:rsidRDefault="00821780" w:rsidP="001A285E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مديرية المسوح 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الاقتصادية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/ قسم </w:t>
            </w:r>
            <w:r w:rsidR="00D66929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الخدمات والمالية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– </w:t>
            </w:r>
            <w:r w:rsidR="0005648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فاتن فلاح </w:t>
            </w:r>
            <w:proofErr w:type="spellStart"/>
            <w:r w:rsidR="0005648C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الراميني</w:t>
            </w:r>
            <w:proofErr w:type="spellEnd"/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- تلفون </w:t>
            </w:r>
            <w:r w:rsidRPr="00340AA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5300700-</w:t>
            </w:r>
            <w:r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فرعي  </w:t>
            </w:r>
            <w:r w:rsidRPr="00340AA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</w:t>
            </w:r>
            <w:r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="002B7384"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="0005648C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1320</w:t>
            </w:r>
            <w:r w:rsidR="002B7384" w:rsidRPr="00340AAE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</w:t>
            </w:r>
            <w:r w:rsidR="002B7384"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بريد إلكتروني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: </w:t>
            </w:r>
            <w:proofErr w:type="spellStart"/>
            <w:r w:rsidR="001A285E">
              <w:rPr>
                <w:rFonts w:asciiTheme="majorBidi" w:hAnsiTheme="majorBidi" w:cstheme="majorBidi"/>
                <w:sz w:val="24"/>
                <w:szCs w:val="24"/>
                <w:lang w:val="en-GB" w:bidi="ar-JO"/>
              </w:rPr>
              <w:t>fatin</w:t>
            </w:r>
            <w:proofErr w:type="spellEnd"/>
            <w:r w:rsidR="002B7384" w:rsidRPr="00340AA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@dos.gov.jo</w:t>
            </w:r>
            <w:r w:rsidRPr="00340AAE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011FFC" w:rsidRPr="00340AAE" w:rsidRDefault="00011FFC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94" w:type="dxa"/>
            <w:gridSpan w:val="2"/>
          </w:tcPr>
          <w:p w:rsidR="00011FFC" w:rsidRPr="00340AAE" w:rsidRDefault="00011FFC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821780" w:rsidRPr="00340AAE" w:rsidRDefault="00821780" w:rsidP="003E42A2">
            <w:pPr>
              <w:spacing w:before="120"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الهدف والمرجعية التاريخية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D66929" w:rsidP="003E42A2">
            <w:pPr>
              <w:spacing w:before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يهدف </w:t>
            </w:r>
            <w:r w:rsid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مسح </w:t>
            </w:r>
            <w:r w:rsidR="00340AA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مالية والتأمين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إلى</w:t>
            </w:r>
            <w:r w:rsidR="00340AAE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توفير البيانات التالية</w:t>
            </w:r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: </w:t>
            </w:r>
          </w:p>
          <w:p w:rsidR="00821780" w:rsidRDefault="00340AAE" w:rsidP="003E42A2">
            <w:pPr>
              <w:pStyle w:val="ListParagraph"/>
              <w:numPr>
                <w:ilvl w:val="0"/>
                <w:numId w:val="1"/>
              </w:numPr>
              <w:spacing w:before="240" w:after="240"/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عدد المنشآت العاملة في قطاعي المالية والتأمين.</w:t>
            </w:r>
          </w:p>
          <w:p w:rsidR="00340AAE" w:rsidRDefault="00340AAE" w:rsidP="003E42A2">
            <w:pPr>
              <w:pStyle w:val="ListParagraph"/>
              <w:numPr>
                <w:ilvl w:val="0"/>
                <w:numId w:val="1"/>
              </w:numPr>
              <w:spacing w:before="240" w:after="240"/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تعويضات العاملين من رواتب واجور ومزايا عينية ونقدية.</w:t>
            </w:r>
          </w:p>
          <w:p w:rsidR="00340AAE" w:rsidRDefault="00340AAE" w:rsidP="003E42A2">
            <w:pPr>
              <w:pStyle w:val="ListParagraph"/>
              <w:numPr>
                <w:ilvl w:val="0"/>
                <w:numId w:val="1"/>
              </w:numPr>
              <w:spacing w:before="240" w:after="240"/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قيمة الانتاج الاجمالي والاستهلاك الوسيط من السلع والخدمات.</w:t>
            </w:r>
          </w:p>
          <w:p w:rsidR="00340AAE" w:rsidRDefault="00340AAE" w:rsidP="003E42A2">
            <w:pPr>
              <w:pStyle w:val="ListParagraph"/>
              <w:numPr>
                <w:ilvl w:val="0"/>
                <w:numId w:val="1"/>
              </w:numPr>
              <w:spacing w:before="240" w:after="240"/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حجم راس المال المستثمر والتكوين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الراسمالي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خلال العام.</w:t>
            </w:r>
          </w:p>
          <w:p w:rsidR="00340AAE" w:rsidRPr="00340AAE" w:rsidRDefault="00340AAE" w:rsidP="003E42A2">
            <w:pPr>
              <w:pStyle w:val="ListParagraph"/>
              <w:numPr>
                <w:ilvl w:val="0"/>
                <w:numId w:val="1"/>
              </w:numPr>
              <w:spacing w:before="240" w:after="240"/>
              <w:ind w:left="697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تقدير مساهمة قطاع المالية والتأمين في الناتج المحلي الاجمالي وتوفير البيانات اللازمة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لاعداد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الحسابات القومية.</w:t>
            </w:r>
          </w:p>
          <w:p w:rsidR="00821780" w:rsidRPr="00340AAE" w:rsidRDefault="00821780" w:rsidP="00C95F4A">
            <w:pPr>
              <w:spacing w:before="120" w:after="24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البيانات المنشورة</w:t>
            </w:r>
            <w:r w:rsidR="00340AAE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في هذ</w:t>
            </w:r>
            <w:r w:rsidR="00D66929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المسح قابلة للمقارنة كونها </w:t>
            </w:r>
            <w:r w:rsidR="00C95F4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تتم </w:t>
            </w:r>
            <w:proofErr w:type="spellStart"/>
            <w:r w:rsidR="00C95F4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باسلوب</w:t>
            </w:r>
            <w:proofErr w:type="spellEnd"/>
            <w:r w:rsidR="003E42A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="00C95F4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</w:t>
            </w:r>
            <w:r w:rsidR="003E42A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حصر </w:t>
            </w:r>
            <w:r w:rsidR="00C95F4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الشامل </w:t>
            </w:r>
            <w:r w:rsidR="003E42A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للمنشآت العاملة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. </w:t>
            </w:r>
          </w:p>
        </w:tc>
      </w:tr>
      <w:tr w:rsidR="002B7384" w:rsidRPr="00340AAE" w:rsidTr="003E42A2">
        <w:trPr>
          <w:gridAfter w:val="1"/>
          <w:wAfter w:w="2097" w:type="dxa"/>
        </w:trPr>
        <w:tc>
          <w:tcPr>
            <w:tcW w:w="7332" w:type="dxa"/>
            <w:gridSpan w:val="2"/>
          </w:tcPr>
          <w:p w:rsidR="00712442" w:rsidRDefault="00C24910" w:rsidP="00B61918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bookmarkStart w:id="0" w:name="_GoBack"/>
            <w:bookmarkEnd w:id="0"/>
            <w:r w:rsidRPr="00707D72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المرجعية التاريخية: </w:t>
            </w:r>
            <w:r w:rsidR="00B61918" w:rsidRPr="00B61918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(يرجى كتابة السنة التي بوشر فيها تنفيذ المسح)</w:t>
            </w:r>
          </w:p>
          <w:p w:rsidR="00B61918" w:rsidRPr="00B61918" w:rsidRDefault="00B61918" w:rsidP="00B61918">
            <w:pPr>
              <w:spacing w:after="12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2002</w:t>
            </w:r>
          </w:p>
        </w:tc>
        <w:tc>
          <w:tcPr>
            <w:tcW w:w="3085" w:type="dxa"/>
            <w:gridSpan w:val="2"/>
          </w:tcPr>
          <w:p w:rsidR="00011FFC" w:rsidRPr="00340AAE" w:rsidRDefault="00011FFC" w:rsidP="003E42A2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821780" w:rsidP="003E42A2">
            <w:pPr>
              <w:spacing w:before="24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المستخدم</w:t>
            </w:r>
            <w:r w:rsidR="00F45859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ن والتطبيقات </w:t>
            </w:r>
          </w:p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المستخدم</w:t>
            </w:r>
            <w:r w:rsidR="00F45859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ن: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2B7384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مديرية الحسابات القومية و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المؤسسات الحكومية ذات العلاقة والمخططين وراسمي السياسات ومراكز  الأبحاث الاقتصادية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وطلاب الجامعات.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التطبيقات: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بناء وتركيب الحسابات القومية والاقتصاد الوطني. والدراسات التفصيلية للقطاعات الاقتصادية 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المختلفة.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المصدر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="009B57AD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9B57AD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تجمع البيانات من خلال </w:t>
            </w:r>
            <w:proofErr w:type="spellStart"/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مسوحات</w:t>
            </w:r>
            <w:proofErr w:type="spellEnd"/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سنوي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ة</w:t>
            </w:r>
            <w:r w:rsidR="0082178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</w:tc>
        <w:tc>
          <w:tcPr>
            <w:tcW w:w="3994" w:type="dxa"/>
            <w:gridSpan w:val="2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9B57AD" w:rsidRPr="00340AAE" w:rsidRDefault="0082178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الهيئة المخولة بجمع البيانات ونشرها</w:t>
            </w:r>
            <w:r w:rsidR="008839C4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دائرة الإحصاءات العامة بموجب قانون رقم  </w:t>
            </w:r>
            <w:r w:rsidR="009B57AD" w:rsidRPr="003E42A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12</w:t>
            </w:r>
            <w:r w:rsidRPr="003E42A2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لسنة </w:t>
            </w:r>
            <w:r w:rsidR="009B57AD" w:rsidRPr="003E42A2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2012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B211AB" w:rsidRPr="00340AAE" w:rsidRDefault="00F11EE6" w:rsidP="003E42A2">
            <w:pPr>
              <w:pStyle w:val="Heading1"/>
              <w:spacing w:before="240" w:after="12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1" w:name="_1._المحتويات"/>
            <w:bookmarkEnd w:id="1"/>
            <w:r w:rsidRPr="003E42A2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1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. المحتويات </w:t>
            </w:r>
          </w:p>
        </w:tc>
        <w:tc>
          <w:tcPr>
            <w:tcW w:w="3994" w:type="dxa"/>
            <w:gridSpan w:val="2"/>
          </w:tcPr>
          <w:p w:rsidR="00B211AB" w:rsidRPr="00340AAE" w:rsidRDefault="00B211AB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C24910" w:rsidRPr="00340AAE" w:rsidRDefault="00821780" w:rsidP="003E42A2">
            <w:pPr>
              <w:pStyle w:val="ListParagraph"/>
              <w:numPr>
                <w:ilvl w:val="1"/>
                <w:numId w:val="4"/>
              </w:numPr>
              <w:spacing w:before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وصف المحتويات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712442" w:rsidRPr="00340AAE" w:rsidRDefault="00C24910" w:rsidP="00F11EB6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الوحدة الإحصائية: </w:t>
            </w:r>
            <w:r w:rsidR="0082178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يشمل المسح جميع المنشآت </w:t>
            </w:r>
            <w:r w:rsidR="003E42A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العاملة في 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قطاع </w:t>
            </w:r>
            <w:r w:rsidR="003E42A2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المالية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وقطاع التأمين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821780" w:rsidRPr="00340AAE" w:rsidRDefault="00C24910" w:rsidP="00F11EB6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قدم هذ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المسح بيانات حول الانتاج القائم والقيمة والمضافة وتعويضات العاملين </w:t>
            </w:r>
            <w:proofErr w:type="spellStart"/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والاهتلاكات</w:t>
            </w:r>
            <w:proofErr w:type="spellEnd"/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والضرائب وتكوين رأس المال حسب كل نشاط اقتصادي على مستوى الحد الرابع من التصنيف الصناعي الدولي الموحد لجميع الأنشطة الاقتصادية (التعديل الرابع)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كما يوفر بيانات حول عدد المنشآت العاملة في القطاع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ين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.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821780" w:rsidRPr="00340AAE" w:rsidRDefault="0082178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F11EB6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="00C24910"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المتغيرات </w:t>
            </w:r>
          </w:p>
          <w:p w:rsidR="00F11EB6" w:rsidRDefault="009B57AD" w:rsidP="00F11EB6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النشاط الاقتصادي الرئيسي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المحافظة، الإنتاج الرئيسي، الإنتاج من الأنشطة الثانوية، الاستهلاك الوسيط من السلع والخدمات، القيمة المضافة ومكونات القيمة المضافة: (تعويضات العاملين، الضرائب غير المباشرة، </w:t>
            </w:r>
            <w:proofErr w:type="spellStart"/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الاهتلاكات</w:t>
            </w:r>
            <w:proofErr w:type="spellEnd"/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، فائض التشغيل) وعدد العاملين، عدد المنشآت العاملة في القطاع. </w:t>
            </w:r>
          </w:p>
          <w:p w:rsidR="00F11EB6" w:rsidRPr="00340AAE" w:rsidRDefault="00F11EB6" w:rsidP="00F11EB6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1-</w:t>
            </w:r>
            <w:r w:rsidR="00C24910"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التصنيفات </w:t>
            </w:r>
          </w:p>
          <w:p w:rsidR="00712442" w:rsidRPr="00340AAE" w:rsidRDefault="009B57AD" w:rsidP="003E42A2">
            <w:pPr>
              <w:pStyle w:val="ListParagraph"/>
              <w:numPr>
                <w:ilvl w:val="0"/>
                <w:numId w:val="3"/>
              </w:numPr>
              <w:ind w:left="714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التصنيف الصناعي الدولي الموحد لجميع الأنشطة الاقتصادية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(</w:t>
            </w:r>
            <w:r w:rsidR="00C24910" w:rsidRPr="00F11EB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4</w:t>
            </w:r>
            <w:r w:rsidR="00C24910" w:rsidRPr="00F11EB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ISIC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).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ind w:left="714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التصنيف المركزي للمنتجات </w:t>
            </w:r>
            <w:r w:rsidRPr="00F11EB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CPC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3A7DE0" w:rsidRPr="00340AAE" w:rsidRDefault="003A7DE0" w:rsidP="003E42A2">
            <w:pPr>
              <w:pStyle w:val="ListParagraph"/>
              <w:numPr>
                <w:ilvl w:val="0"/>
                <w:numId w:val="3"/>
              </w:numPr>
              <w:ind w:left="714" w:hanging="357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الجداول المنشورة تعتمد على نشر البيانات حسب 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التصنيف الصناعي الدولي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</w:p>
        </w:tc>
      </w:tr>
      <w:tr w:rsidR="002B7384" w:rsidRPr="00340AAE" w:rsidTr="003E42A2">
        <w:tc>
          <w:tcPr>
            <w:tcW w:w="9427" w:type="dxa"/>
            <w:gridSpan w:val="3"/>
          </w:tcPr>
          <w:p w:rsidR="00642753" w:rsidRPr="00340AAE" w:rsidRDefault="009A0305" w:rsidP="00F11EB6">
            <w:pPr>
              <w:pStyle w:val="Heading1"/>
              <w:spacing w:before="24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</w:rPr>
            </w:pPr>
            <w:bookmarkStart w:id="2" w:name="_2-_الوقت"/>
            <w:bookmarkEnd w:id="2"/>
            <w:r w:rsidRPr="00F11EB6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2</w:t>
            </w:r>
            <w:r w:rsidR="00F11EB6">
              <w:rPr>
                <w:rFonts w:ascii="Traditional Arabic" w:hAnsi="Traditional Arabic" w:cs="Traditional Arabic" w:hint="cs"/>
                <w:color w:val="auto"/>
                <w:sz w:val="32"/>
                <w:szCs w:val="32"/>
                <w:rtl/>
                <w:lang w:bidi="ar-JO"/>
              </w:rPr>
              <w:t xml:space="preserve">.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الوقت </w:t>
            </w:r>
          </w:p>
          <w:p w:rsidR="00F11EB6" w:rsidRPr="00340AAE" w:rsidRDefault="00C24910" w:rsidP="00F11EB6">
            <w:pPr>
              <w:tabs>
                <w:tab w:val="left" w:pos="5219"/>
              </w:tabs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</w:t>
            </w:r>
            <w:r w:rsidR="009B57AD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نفذ المسح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سنويا، بحيث يغطي البيانات عن السنة المالية السابقة للسنة التي يتم فيها تنفيذ المسح.</w:t>
            </w:r>
          </w:p>
        </w:tc>
        <w:tc>
          <w:tcPr>
            <w:tcW w:w="3087" w:type="dxa"/>
            <w:gridSpan w:val="2"/>
          </w:tcPr>
          <w:p w:rsidR="00642753" w:rsidRPr="00340AAE" w:rsidRDefault="00642753" w:rsidP="003E42A2">
            <w:pPr>
              <w:spacing w:before="240"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F11EB6" w:rsidRDefault="00F11EB6" w:rsidP="003E42A2">
            <w:pPr>
              <w:spacing w:before="240"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</w:p>
          <w:p w:rsidR="003A7DE0" w:rsidRPr="00340AAE" w:rsidRDefault="003A7DE0" w:rsidP="00F11EB6">
            <w:pPr>
              <w:spacing w:before="24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>2-1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الفترة المرجعية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</w:p>
          <w:p w:rsidR="00712442" w:rsidRPr="00340AAE" w:rsidRDefault="009B57AD" w:rsidP="00F11EB6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تغطي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البيانات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سنة ميلادية كاملة</w:t>
            </w:r>
          </w:p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2-2 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التا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ريخ</w:t>
            </w:r>
            <w:r w:rsidR="00C24910"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3A7DE0" w:rsidRPr="00340AAE" w:rsidRDefault="00C24910" w:rsidP="00F11EB6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متوفر التاريخ السنوي لنشر هذه البيانات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>،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محدد مسبقا من خلال الرزنامة الإحصائية لنشر البيانات الإحصائية. </w:t>
            </w:r>
          </w:p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2-3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الالتزام بالنشر </w:t>
            </w:r>
          </w:p>
          <w:p w:rsidR="003A7DE0" w:rsidRPr="00340AAE" w:rsidRDefault="00C24910" w:rsidP="00F11EB6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هناك التزام بالنشر بحسب الأجندة الإحصائية الداخلية المرتبطة أصلا بمعايير نشر البيانات </w:t>
            </w:r>
            <w:r w:rsidRPr="00F11EB6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SDDS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.</w:t>
            </w:r>
          </w:p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2-</w:t>
            </w: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JO"/>
              </w:rPr>
              <w:t>4</w:t>
            </w:r>
            <w:r w:rsidRPr="00F11EB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التكرار 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:</w:t>
            </w:r>
          </w:p>
          <w:p w:rsidR="003A7DE0" w:rsidRPr="00340AAE" w:rsidRDefault="00C24910" w:rsidP="00F11EB6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يتم اجراء المسح سنويا.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spacing w:before="24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2-5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توفر سلسلة زمنية </w:t>
            </w:r>
          </w:p>
          <w:p w:rsidR="00C24910" w:rsidRPr="00340AAE" w:rsidRDefault="001B4C2C" w:rsidP="001A285E">
            <w:pPr>
              <w:ind w:right="284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C95F4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تتوفر سلسلة زمنية</w:t>
            </w:r>
            <w:r w:rsidR="00C24910" w:rsidRPr="00C95F4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للبيانات والمتغيرات الرئيسية للمسح من عام </w:t>
            </w:r>
            <w:r w:rsidRPr="00C95F4A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</w:t>
            </w:r>
            <w:r w:rsidR="00C95F4A" w:rsidRPr="00C95F4A">
              <w:rPr>
                <w:rFonts w:asciiTheme="majorBidi" w:hAnsiTheme="majorBidi" w:cstheme="majorBidi" w:hint="cs"/>
                <w:sz w:val="24"/>
                <w:szCs w:val="24"/>
                <w:rtl/>
                <w:lang w:bidi="ar-JO"/>
              </w:rPr>
              <w:t>2002</w:t>
            </w:r>
            <w:r w:rsidRPr="00C95F4A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-</w:t>
            </w:r>
            <w:r w:rsidR="001A285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2019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  </w:t>
            </w:r>
          </w:p>
          <w:p w:rsidR="00C24910" w:rsidRPr="00340AAE" w:rsidRDefault="00C24910" w:rsidP="003E42A2">
            <w:pPr>
              <w:ind w:right="284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(يوجد اختلاف في عملية استرجاع البيانات تبدأ من عام </w:t>
            </w:r>
            <w:r w:rsidRPr="00F11EB6"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  <w:t>2009</w:t>
            </w:r>
            <w:r w:rsidRPr="00F11EB6">
              <w:rPr>
                <w:rFonts w:ascii="Traditional Arabic" w:hAnsi="Traditional Arabic" w:cs="Traditional Arabic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حتى الآن مع المحافظة على طبيعة المتغيرات الرئيسية بما لا يؤثر على عملية إجراء المقارنات عبر السلسلة الزمنية أعلاه) .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756203" w:rsidRPr="00340AAE" w:rsidRDefault="00756203" w:rsidP="00F11EB6">
            <w:pPr>
              <w:pStyle w:val="Heading1"/>
              <w:spacing w:before="24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3" w:name="_3-_مستوى_الدقة"/>
            <w:bookmarkEnd w:id="3"/>
            <w:r w:rsidRPr="00F11EB6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3</w:t>
            </w:r>
            <w:r w:rsidR="00F11EB6">
              <w:rPr>
                <w:rFonts w:asciiTheme="majorBidi" w:hAnsiTheme="majorBidi" w:hint="cs"/>
                <w:color w:val="auto"/>
                <w:sz w:val="24"/>
                <w:szCs w:val="24"/>
                <w:rtl/>
                <w:lang w:bidi="ar-JO"/>
              </w:rPr>
              <w:t xml:space="preserve">. </w:t>
            </w:r>
            <w:r w:rsidRPr="00F11EB6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مستوى الدقة </w:t>
            </w:r>
          </w:p>
        </w:tc>
        <w:tc>
          <w:tcPr>
            <w:tcW w:w="3994" w:type="dxa"/>
            <w:gridSpan w:val="2"/>
          </w:tcPr>
          <w:p w:rsidR="00756203" w:rsidRPr="00340AAE" w:rsidRDefault="00756203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9B57AD" w:rsidRPr="00340AAE" w:rsidRDefault="00D03004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F11EB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3-1</w:t>
            </w:r>
            <w:r w:rsidRPr="00F11EB6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الدقة الكلية </w:t>
            </w:r>
          </w:p>
          <w:p w:rsidR="00D03004" w:rsidRPr="00340AAE" w:rsidRDefault="00D03004" w:rsidP="00F11EB6">
            <w:pPr>
              <w:spacing w:before="120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عالية</w:t>
            </w:r>
            <w:r w:rsidR="00F11E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جداً</w:t>
            </w:r>
            <w:r w:rsidR="00C24910"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br/>
              <w:t>تتسم عملية تدقيق البيانات بالدقة العالية وتشتمل على المراحل التالية: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ميداني لجميع الاستمارات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مكتبي لجميع المتغيرات في الاستمارة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قواعد تدقيق الكترونية على الحاسب الآلي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تدقيق على البيانات المدخلة من خلال الشاشات المرتبطة بالمشرفين على المسح وتدقيق كامل على البيانات.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lastRenderedPageBreak/>
              <w:t>تدقيق على الجداول ومقارنتها بالنتائج المستخرجة من مديرية تكنولوجيا المعلومات.</w:t>
            </w:r>
          </w:p>
          <w:p w:rsidR="00C24910" w:rsidRPr="00340AAE" w:rsidRDefault="00C24910" w:rsidP="003E42A2">
            <w:pPr>
              <w:pStyle w:val="ListParagraph"/>
              <w:numPr>
                <w:ilvl w:val="0"/>
                <w:numId w:val="3"/>
              </w:numPr>
              <w:spacing w:before="120"/>
              <w:ind w:left="714" w:hanging="357"/>
              <w:contextualSpacing w:val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مقارنة النتائج الجديدة مع النتائج السابقة وأية مصادر بيانات أخرى متوفرة.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D03004" w:rsidRPr="00340AAE" w:rsidRDefault="00D03004" w:rsidP="003E42A2">
            <w:pPr>
              <w:spacing w:before="120" w:after="12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lastRenderedPageBreak/>
              <w:t>3-2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مصادر عدم الدقة </w:t>
            </w:r>
          </w:p>
          <w:p w:rsidR="00C24910" w:rsidRPr="00340AAE" w:rsidRDefault="00D03004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العينة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9B57AD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3-3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مقاييس الدقة المتوفرة </w:t>
            </w:r>
          </w:p>
          <w:p w:rsidR="003A7DE0" w:rsidRPr="00340AAE" w:rsidRDefault="003A7DE0" w:rsidP="004F08FF">
            <w:pPr>
              <w:spacing w:after="12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مقاييس دقة وصفية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756203" w:rsidRPr="00340AAE" w:rsidRDefault="00756203" w:rsidP="004F08FF">
            <w:pPr>
              <w:pStyle w:val="Heading1"/>
              <w:spacing w:before="240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4" w:name="_4-_المقارنة"/>
            <w:bookmarkEnd w:id="4"/>
            <w:r w:rsidRPr="004F08FF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4</w:t>
            </w:r>
            <w:r w:rsidR="004F08FF">
              <w:rPr>
                <w:rFonts w:asciiTheme="majorBidi" w:hAnsiTheme="majorBidi" w:hint="cs"/>
                <w:color w:val="auto"/>
                <w:sz w:val="24"/>
                <w:szCs w:val="24"/>
                <w:rtl/>
                <w:lang w:bidi="ar-JO"/>
              </w:rPr>
              <w:t xml:space="preserve">. </w:t>
            </w:r>
            <w:r w:rsidRPr="004F08FF">
              <w:rPr>
                <w:rFonts w:ascii="Traditional Arabic" w:hAnsi="Traditional Arabic" w:cs="Traditional Arabic"/>
                <w:color w:val="auto"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المقارنة </w:t>
            </w:r>
          </w:p>
        </w:tc>
        <w:tc>
          <w:tcPr>
            <w:tcW w:w="3994" w:type="dxa"/>
            <w:gridSpan w:val="2"/>
          </w:tcPr>
          <w:p w:rsidR="00756203" w:rsidRPr="00340AAE" w:rsidRDefault="00756203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4-1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المقارنة عبر الزمن </w:t>
            </w:r>
          </w:p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هذه البيانات قابلة للمقارنة مع البيانات المنتجة سابقاً بسبب استخدام نفس المنهجية وتطبيق المعايير الدولية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712442" w:rsidRPr="00340AAE" w:rsidRDefault="00712442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</w:p>
          <w:p w:rsidR="00712442" w:rsidRPr="00340AAE" w:rsidRDefault="00E77F16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4-2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>المقارنة مع الإحصاءات الأخرى</w:t>
            </w:r>
          </w:p>
          <w:p w:rsidR="00E77F16" w:rsidRPr="00340AAE" w:rsidRDefault="00E77F16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هذه البيانات قابلة للمقارنة مع الإحصاءات الأخرى والتي تستخدم نفس التعاريف والتصانيف الدولية </w:t>
            </w:r>
          </w:p>
        </w:tc>
      </w:tr>
      <w:tr w:rsidR="002B7384" w:rsidRPr="00340AAE" w:rsidTr="003E42A2">
        <w:trPr>
          <w:gridAfter w:val="2"/>
          <w:wAfter w:w="3087" w:type="dxa"/>
        </w:trPr>
        <w:tc>
          <w:tcPr>
            <w:tcW w:w="5433" w:type="dxa"/>
          </w:tcPr>
          <w:p w:rsidR="00756203" w:rsidRPr="00340AAE" w:rsidRDefault="009939D4" w:rsidP="004F08FF">
            <w:pPr>
              <w:pStyle w:val="Heading1"/>
              <w:jc w:val="both"/>
              <w:outlineLvl w:val="0"/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</w:pPr>
            <w:bookmarkStart w:id="5" w:name="_5-_الوصول_للبيانات"/>
            <w:bookmarkEnd w:id="5"/>
            <w:r w:rsidRPr="004F08FF">
              <w:rPr>
                <w:rFonts w:asciiTheme="majorBidi" w:hAnsiTheme="majorBidi"/>
                <w:color w:val="auto"/>
                <w:sz w:val="24"/>
                <w:szCs w:val="24"/>
                <w:rtl/>
                <w:lang w:bidi="ar-JO"/>
              </w:rPr>
              <w:t>5</w:t>
            </w:r>
            <w:r w:rsidR="004F08FF">
              <w:rPr>
                <w:rFonts w:asciiTheme="majorBidi" w:hAnsiTheme="majorBidi" w:hint="cs"/>
                <w:color w:val="auto"/>
                <w:sz w:val="24"/>
                <w:szCs w:val="24"/>
                <w:rtl/>
                <w:lang w:bidi="ar-JO"/>
              </w:rPr>
              <w:t>.</w:t>
            </w:r>
            <w:r w:rsidRPr="004F08FF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color w:val="auto"/>
                <w:sz w:val="32"/>
                <w:szCs w:val="32"/>
                <w:rtl/>
                <w:lang w:bidi="ar-JO"/>
              </w:rPr>
              <w:t xml:space="preserve">الوصول للبيانات </w:t>
            </w:r>
          </w:p>
        </w:tc>
        <w:tc>
          <w:tcPr>
            <w:tcW w:w="3994" w:type="dxa"/>
            <w:gridSpan w:val="2"/>
          </w:tcPr>
          <w:p w:rsidR="00756203" w:rsidRPr="00340AAE" w:rsidRDefault="00756203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</w:p>
        </w:tc>
      </w:tr>
      <w:tr w:rsidR="009B57AD" w:rsidRPr="00340AAE" w:rsidTr="003E42A2">
        <w:trPr>
          <w:gridAfter w:val="2"/>
          <w:wAfter w:w="3087" w:type="dxa"/>
        </w:trPr>
        <w:tc>
          <w:tcPr>
            <w:tcW w:w="9427" w:type="dxa"/>
            <w:gridSpan w:val="3"/>
          </w:tcPr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4F08F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5-1</w:t>
            </w:r>
            <w:r w:rsidRPr="004F08FF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340AA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  <w:t xml:space="preserve">شكل النشر </w:t>
            </w:r>
          </w:p>
          <w:p w:rsidR="003A7DE0" w:rsidRPr="00340AAE" w:rsidRDefault="003A7DE0" w:rsidP="003E42A2">
            <w:pPr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</w:pPr>
            <w:r w:rsidRPr="00340AAE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 xml:space="preserve">تنشر البيانات ورقياً وإلكترونياً على موقع دائرة الإحصاءات العامة </w:t>
            </w:r>
          </w:p>
          <w:p w:rsidR="001A285E" w:rsidRDefault="00DE015A" w:rsidP="001A285E">
            <w:pPr>
              <w:jc w:val="both"/>
              <w:rPr>
                <w:rStyle w:val="Hyperlink"/>
              </w:rPr>
            </w:pPr>
            <w:hyperlink r:id="rId9" w:history="1">
              <w:r w:rsidR="001A285E" w:rsidRPr="00A03701">
                <w:rPr>
                  <w:rStyle w:val="Hyperlink"/>
                  <w:rFonts w:ascii="Traditional Arabic" w:hAnsi="Traditional Arabic" w:cs="Traditional Arabic"/>
                  <w:sz w:val="32"/>
                  <w:szCs w:val="32"/>
                  <w:lang w:bidi="ar-JO"/>
                </w:rPr>
                <w:t>http://www.dos.gov.jo</w:t>
              </w:r>
            </w:hyperlink>
          </w:p>
          <w:p w:rsidR="003A7DE0" w:rsidRPr="001A285E" w:rsidRDefault="009B57AD" w:rsidP="001A285E">
            <w:pPr>
              <w:jc w:val="both"/>
              <w:rPr>
                <w:rFonts w:ascii="Traditional Arabic" w:hAnsi="Traditional Arabic" w:cs="Traditional Arabic"/>
                <w:color w:val="0000FF" w:themeColor="hyperlink"/>
                <w:sz w:val="32"/>
                <w:szCs w:val="32"/>
                <w:u w:val="single"/>
                <w:rtl/>
                <w:lang w:bidi="ar-JO"/>
              </w:rPr>
            </w:pPr>
            <w:r w:rsidRPr="001A285E">
              <w:rPr>
                <w:rFonts w:ascii="Traditional Arabic" w:hAnsi="Traditional Arabic" w:cs="Traditional Arabic"/>
                <w:sz w:val="32"/>
                <w:szCs w:val="32"/>
                <w:lang w:bidi="ar-JO"/>
              </w:rPr>
              <w:t>http://www.dos.go</w:t>
            </w:r>
            <w:r w:rsidR="001A285E">
              <w:rPr>
                <w:rFonts w:ascii="Traditional Arabic" w:hAnsi="Traditional Arabic" w:cs="Traditional Arabic"/>
                <w:color w:val="0000FF" w:themeColor="hyperlink"/>
                <w:sz w:val="32"/>
                <w:szCs w:val="32"/>
                <w:u w:val="single"/>
                <w:lang w:bidi="ar-JO"/>
              </w:rPr>
              <w:t>v.jo</w:t>
            </w:r>
          </w:p>
        </w:tc>
      </w:tr>
    </w:tbl>
    <w:p w:rsidR="00B237D5" w:rsidRPr="00340AAE" w:rsidRDefault="00B237D5" w:rsidP="003E42A2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rtl/>
          <w:lang w:bidi="ar-JO"/>
        </w:rPr>
      </w:pPr>
    </w:p>
    <w:p w:rsidR="00B12518" w:rsidRPr="00340AAE" w:rsidRDefault="00B12518" w:rsidP="003E42A2">
      <w:pPr>
        <w:spacing w:line="240" w:lineRule="auto"/>
        <w:jc w:val="both"/>
        <w:rPr>
          <w:rFonts w:ascii="Traditional Arabic" w:hAnsi="Traditional Arabic" w:cs="Traditional Arabic"/>
          <w:sz w:val="32"/>
          <w:szCs w:val="32"/>
          <w:lang w:bidi="ar-JO"/>
        </w:rPr>
      </w:pPr>
    </w:p>
    <w:sectPr w:rsidR="00B12518" w:rsidRPr="00340AAE" w:rsidSect="00E83A63">
      <w:footerReference w:type="default" r:id="rId10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15A" w:rsidRDefault="00DE015A" w:rsidP="000031B4">
      <w:pPr>
        <w:spacing w:after="0" w:line="240" w:lineRule="auto"/>
      </w:pPr>
      <w:r>
        <w:separator/>
      </w:r>
    </w:p>
  </w:endnote>
  <w:endnote w:type="continuationSeparator" w:id="0">
    <w:p w:rsidR="00DE015A" w:rsidRDefault="00DE015A" w:rsidP="00003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6559140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169DA" w:rsidRDefault="004169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541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4169DA" w:rsidRDefault="004169D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15A" w:rsidRDefault="00DE015A" w:rsidP="000031B4">
      <w:pPr>
        <w:spacing w:after="0" w:line="240" w:lineRule="auto"/>
      </w:pPr>
      <w:r>
        <w:separator/>
      </w:r>
    </w:p>
  </w:footnote>
  <w:footnote w:type="continuationSeparator" w:id="0">
    <w:p w:rsidR="00DE015A" w:rsidRDefault="00DE015A" w:rsidP="000031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798B"/>
    <w:multiLevelType w:val="multilevel"/>
    <w:tmpl w:val="90FEE8BA"/>
    <w:lvl w:ilvl="0">
      <w:start w:val="1"/>
      <w:numFmt w:val="decimal"/>
      <w:lvlText w:val="%1"/>
      <w:lvlJc w:val="left"/>
      <w:pPr>
        <w:ind w:left="36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asciiTheme="majorBidi" w:hAnsiTheme="majorBidi" w:cstheme="majorBidi" w:hint="default"/>
        <w:sz w:val="24"/>
        <w:szCs w:val="24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Theme="majorBidi" w:hAnsiTheme="majorBidi" w:cstheme="majorBidi"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Theme="majorBidi" w:hAnsiTheme="majorBidi" w:cstheme="majorBidi"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Theme="majorBidi" w:hAnsiTheme="majorBidi" w:cstheme="majorBid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Theme="majorBidi" w:hAnsiTheme="majorBidi" w:cstheme="majorBidi"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Theme="majorBidi" w:hAnsiTheme="majorBidi" w:cstheme="majorBidi" w:hint="default"/>
      </w:rPr>
    </w:lvl>
  </w:abstractNum>
  <w:abstractNum w:abstractNumId="1">
    <w:nsid w:val="27DE26F3"/>
    <w:multiLevelType w:val="hybridMultilevel"/>
    <w:tmpl w:val="53041398"/>
    <w:lvl w:ilvl="0" w:tplc="31FA9D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181477"/>
    <w:multiLevelType w:val="hybridMultilevel"/>
    <w:tmpl w:val="E1BEE332"/>
    <w:lvl w:ilvl="0" w:tplc="6302AAF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C475A"/>
    <w:multiLevelType w:val="hybridMultilevel"/>
    <w:tmpl w:val="D862BA64"/>
    <w:lvl w:ilvl="0" w:tplc="0DF4A628">
      <w:start w:val="1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theme="majorBidi" w:hint="default"/>
        <w:sz w:val="24"/>
        <w:szCs w:val="24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7D2"/>
    <w:rsid w:val="000031B4"/>
    <w:rsid w:val="00011FFC"/>
    <w:rsid w:val="0003713D"/>
    <w:rsid w:val="000421C7"/>
    <w:rsid w:val="0004255B"/>
    <w:rsid w:val="0005648C"/>
    <w:rsid w:val="0013094C"/>
    <w:rsid w:val="00140778"/>
    <w:rsid w:val="001409C2"/>
    <w:rsid w:val="001950AD"/>
    <w:rsid w:val="001A285E"/>
    <w:rsid w:val="001B4C2C"/>
    <w:rsid w:val="0027118E"/>
    <w:rsid w:val="002B269C"/>
    <w:rsid w:val="002B29EE"/>
    <w:rsid w:val="002B7384"/>
    <w:rsid w:val="002F4A5D"/>
    <w:rsid w:val="00340AAE"/>
    <w:rsid w:val="003A7DE0"/>
    <w:rsid w:val="003E42A2"/>
    <w:rsid w:val="003F07D2"/>
    <w:rsid w:val="00404CCC"/>
    <w:rsid w:val="004169DA"/>
    <w:rsid w:val="004F08FF"/>
    <w:rsid w:val="0054048F"/>
    <w:rsid w:val="00591EAD"/>
    <w:rsid w:val="005D5C1E"/>
    <w:rsid w:val="005D69A2"/>
    <w:rsid w:val="006149A5"/>
    <w:rsid w:val="00642753"/>
    <w:rsid w:val="006664EF"/>
    <w:rsid w:val="006669AE"/>
    <w:rsid w:val="00680900"/>
    <w:rsid w:val="006C1E17"/>
    <w:rsid w:val="006C2A7A"/>
    <w:rsid w:val="006D15AB"/>
    <w:rsid w:val="00707D72"/>
    <w:rsid w:val="00712442"/>
    <w:rsid w:val="007163C2"/>
    <w:rsid w:val="00726A3A"/>
    <w:rsid w:val="00756203"/>
    <w:rsid w:val="007B1462"/>
    <w:rsid w:val="00821780"/>
    <w:rsid w:val="00847F51"/>
    <w:rsid w:val="00883553"/>
    <w:rsid w:val="008839C4"/>
    <w:rsid w:val="008F4747"/>
    <w:rsid w:val="008F5416"/>
    <w:rsid w:val="00975568"/>
    <w:rsid w:val="009939D4"/>
    <w:rsid w:val="009A0305"/>
    <w:rsid w:val="009B57AD"/>
    <w:rsid w:val="009F3BC8"/>
    <w:rsid w:val="00A4728E"/>
    <w:rsid w:val="00AE4EDA"/>
    <w:rsid w:val="00B12518"/>
    <w:rsid w:val="00B211AB"/>
    <w:rsid w:val="00B237D5"/>
    <w:rsid w:val="00B24498"/>
    <w:rsid w:val="00B61918"/>
    <w:rsid w:val="00B64614"/>
    <w:rsid w:val="00B75DA5"/>
    <w:rsid w:val="00C24910"/>
    <w:rsid w:val="00C4573A"/>
    <w:rsid w:val="00C53FF7"/>
    <w:rsid w:val="00C62BFF"/>
    <w:rsid w:val="00C67591"/>
    <w:rsid w:val="00C95F4A"/>
    <w:rsid w:val="00CA75E4"/>
    <w:rsid w:val="00CC5FDC"/>
    <w:rsid w:val="00D03004"/>
    <w:rsid w:val="00D16AE1"/>
    <w:rsid w:val="00D50625"/>
    <w:rsid w:val="00D66929"/>
    <w:rsid w:val="00D671E1"/>
    <w:rsid w:val="00D73E05"/>
    <w:rsid w:val="00D845BD"/>
    <w:rsid w:val="00DA0770"/>
    <w:rsid w:val="00DE015A"/>
    <w:rsid w:val="00DE7BD7"/>
    <w:rsid w:val="00E75E1B"/>
    <w:rsid w:val="00E77F16"/>
    <w:rsid w:val="00E83A63"/>
    <w:rsid w:val="00EE0FC7"/>
    <w:rsid w:val="00F11EB6"/>
    <w:rsid w:val="00F11EE6"/>
    <w:rsid w:val="00F23731"/>
    <w:rsid w:val="00F45859"/>
    <w:rsid w:val="00F642AA"/>
    <w:rsid w:val="00FB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F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5F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5F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07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C2A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69A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5FDC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5F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5F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CC5FD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1B4"/>
  </w:style>
  <w:style w:type="paragraph" w:styleId="Footer">
    <w:name w:val="footer"/>
    <w:basedOn w:val="Normal"/>
    <w:link w:val="FooterChar"/>
    <w:uiPriority w:val="99"/>
    <w:unhideWhenUsed/>
    <w:rsid w:val="000031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1B4"/>
  </w:style>
  <w:style w:type="paragraph" w:styleId="BalloonText">
    <w:name w:val="Balloon Text"/>
    <w:basedOn w:val="Normal"/>
    <w:link w:val="BalloonTextChar"/>
    <w:uiPriority w:val="99"/>
    <w:semiHidden/>
    <w:unhideWhenUsed/>
    <w:rsid w:val="00883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5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dos.gov.j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6A94C-DEEC-4D45-A1C2-E29C94F0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KHALAF</dc:creator>
  <cp:lastModifiedBy>derar jawarneh</cp:lastModifiedBy>
  <cp:revision>9</cp:revision>
  <cp:lastPrinted>2022-03-09T06:20:00Z</cp:lastPrinted>
  <dcterms:created xsi:type="dcterms:W3CDTF">2022-02-27T07:14:00Z</dcterms:created>
  <dcterms:modified xsi:type="dcterms:W3CDTF">2022-03-09T06:20:00Z</dcterms:modified>
</cp:coreProperties>
</file>