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9C3B73" w:rsidRDefault="00C24910" w:rsidP="00C24910">
      <w:pPr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24"/>
          <w:szCs w:val="24"/>
          <w:rtl/>
          <w:lang w:bidi="ar-JO"/>
        </w:rPr>
      </w:pPr>
      <w:bookmarkStart w:id="0" w:name="_GoBack"/>
      <w:bookmarkEnd w:id="0"/>
      <w:r w:rsidRPr="009C3B73">
        <w:rPr>
          <w:rFonts w:ascii="Simplified Arabic" w:hAnsi="Simplified Arabic" w:cs="Simplified Arabic" w:hint="cs"/>
          <w:b/>
          <w:bCs/>
          <w:color w:val="548DD4" w:themeColor="text2" w:themeTint="99"/>
          <w:sz w:val="24"/>
          <w:szCs w:val="24"/>
          <w:rtl/>
          <w:lang w:bidi="ar-JO"/>
        </w:rPr>
        <w:t>وثيقة توضيحية للبيانات الم</w:t>
      </w:r>
      <w:r w:rsidR="002B7384" w:rsidRPr="009C3B73">
        <w:rPr>
          <w:rFonts w:ascii="Simplified Arabic" w:hAnsi="Simplified Arabic" w:cs="Simplified Arabic" w:hint="cs"/>
          <w:b/>
          <w:bCs/>
          <w:color w:val="548DD4" w:themeColor="text2" w:themeTint="99"/>
          <w:sz w:val="24"/>
          <w:szCs w:val="24"/>
          <w:rtl/>
          <w:lang w:bidi="ar-JO"/>
        </w:rPr>
        <w:t>نشور</w:t>
      </w:r>
      <w:r w:rsidRPr="009C3B73">
        <w:rPr>
          <w:rFonts w:ascii="Simplified Arabic" w:hAnsi="Simplified Arabic" w:cs="Simplified Arabic" w:hint="cs"/>
          <w:b/>
          <w:bCs/>
          <w:color w:val="548DD4" w:themeColor="text2" w:themeTint="99"/>
          <w:sz w:val="24"/>
          <w:szCs w:val="24"/>
          <w:rtl/>
          <w:lang w:bidi="ar-JO"/>
        </w:rPr>
        <w:t>ة</w:t>
      </w:r>
    </w:p>
    <w:tbl>
      <w:tblPr>
        <w:tblStyle w:val="TableGrid"/>
        <w:bidiVisual/>
        <w:tblW w:w="11607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992"/>
        <w:gridCol w:w="2095"/>
        <w:gridCol w:w="990"/>
        <w:gridCol w:w="2097"/>
      </w:tblGrid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2B7384" w:rsidRPr="009C3B73" w:rsidRDefault="00821780" w:rsidP="00C24910">
            <w:pPr>
              <w:spacing w:line="360" w:lineRule="auto"/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الاسم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: </w:t>
            </w:r>
            <w:r w:rsidR="00C62BFF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</w:p>
          <w:p w:rsidR="00821780" w:rsidRPr="002B7384" w:rsidRDefault="008B3287" w:rsidP="00663FC3">
            <w:pPr>
              <w:spacing w:line="360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الاحصاءات</w:t>
            </w:r>
            <w:r w:rsidR="00FB13EA">
              <w:rPr>
                <w:rFonts w:hint="cs"/>
                <w:rtl/>
                <w:lang w:bidi="ar-JO"/>
              </w:rPr>
              <w:t xml:space="preserve"> الاقتصادية</w:t>
            </w:r>
            <w:r w:rsidR="00C24910">
              <w:rPr>
                <w:rFonts w:hint="cs"/>
                <w:rtl/>
                <w:lang w:bidi="ar-JO"/>
              </w:rPr>
              <w:t xml:space="preserve">/ </w:t>
            </w:r>
            <w:r w:rsidR="000C7C66">
              <w:rPr>
                <w:rFonts w:hint="cs"/>
                <w:rtl/>
                <w:lang w:bidi="ar-JO"/>
              </w:rPr>
              <w:t xml:space="preserve">التجارة </w:t>
            </w:r>
            <w:r w:rsidR="00663FC3">
              <w:rPr>
                <w:rFonts w:hint="cs"/>
                <w:rtl/>
                <w:lang w:bidi="ar-JO"/>
              </w:rPr>
              <w:t>الخارجية</w:t>
            </w:r>
          </w:p>
        </w:tc>
        <w:tc>
          <w:tcPr>
            <w:tcW w:w="3085" w:type="dxa"/>
            <w:gridSpan w:val="2"/>
            <w:vMerge w:val="restart"/>
          </w:tcPr>
          <w:p w:rsidR="00821780" w:rsidRPr="002B7384" w:rsidRDefault="00BB634C" w:rsidP="00FB13EA">
            <w:pPr>
              <w:ind w:firstLine="1451"/>
              <w:rPr>
                <w:rtl/>
                <w:lang w:bidi="ar-JO"/>
              </w:rPr>
            </w:pPr>
            <w:hyperlink w:anchor="_1._المحتوي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المحتويات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BB634C" w:rsidP="00FB13EA">
            <w:pPr>
              <w:ind w:firstLine="1451"/>
              <w:rPr>
                <w:rtl/>
                <w:lang w:bidi="ar-JO"/>
              </w:rPr>
            </w:pPr>
            <w:hyperlink w:anchor="_2-_الوق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الوقت</w:t>
              </w:r>
            </w:hyperlink>
            <w:r w:rsidR="00821780" w:rsidRPr="002B7384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BB634C" w:rsidP="00FB13EA">
            <w:pPr>
              <w:ind w:firstLine="1451"/>
              <w:rPr>
                <w:rtl/>
                <w:lang w:bidi="ar-JO"/>
              </w:rPr>
            </w:pPr>
            <w:hyperlink w:anchor="_3-_مستوى_الدق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الدقة</w:t>
              </w:r>
            </w:hyperlink>
          </w:p>
          <w:p w:rsidR="00821780" w:rsidRPr="002B7384" w:rsidRDefault="00BB634C" w:rsidP="00FB13EA">
            <w:pPr>
              <w:ind w:firstLine="1451"/>
              <w:rPr>
                <w:rtl/>
                <w:lang w:bidi="ar-JO"/>
              </w:rPr>
            </w:pPr>
            <w:hyperlink w:anchor="_4-_المقارنة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المقارنة</w:t>
              </w:r>
            </w:hyperlink>
          </w:p>
          <w:p w:rsidR="00821780" w:rsidRPr="002B7384" w:rsidRDefault="00BB634C" w:rsidP="00FB13EA">
            <w:pPr>
              <w:ind w:firstLine="1451"/>
              <w:rPr>
                <w:rtl/>
                <w:lang w:bidi="ar-JO"/>
              </w:rPr>
            </w:pPr>
            <w:hyperlink w:anchor="_5-_الوصول_للبيانات" w:history="1">
              <w:r w:rsidR="00821780" w:rsidRPr="002B7384">
                <w:rPr>
                  <w:rStyle w:val="Hyperlink"/>
                  <w:rFonts w:hint="cs"/>
                  <w:color w:val="auto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9C3B73" w:rsidRDefault="00821780" w:rsidP="00C24910">
            <w:pPr>
              <w:spacing w:line="360" w:lineRule="auto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المجال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: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إحصاءات </w:t>
            </w:r>
            <w:r w:rsidR="002B7384">
              <w:rPr>
                <w:rFonts w:hint="cs"/>
                <w:rtl/>
                <w:lang w:bidi="ar-JO"/>
              </w:rPr>
              <w:t>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3085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  <w:vMerge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2B7384" w:rsidRPr="009C3B73" w:rsidRDefault="002B7384" w:rsidP="002B7384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الشخص المسؤول و</w:t>
            </w:r>
            <w:r w:rsidR="00B24498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المديرية</w:t>
            </w:r>
          </w:p>
          <w:p w:rsidR="002B7384" w:rsidRDefault="002B7384" w:rsidP="004169DA">
            <w:pPr>
              <w:rPr>
                <w:rtl/>
                <w:lang w:bidi="ar-JO"/>
              </w:rPr>
            </w:pPr>
          </w:p>
          <w:p w:rsidR="00821780" w:rsidRPr="002B7384" w:rsidRDefault="00821780" w:rsidP="008B3287">
            <w:pPr>
              <w:rPr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مديرية </w:t>
            </w:r>
            <w:r w:rsidR="008B3287">
              <w:rPr>
                <w:rFonts w:hint="cs"/>
                <w:rtl/>
                <w:lang w:bidi="ar-JO"/>
              </w:rPr>
              <w:t>الاحصاءات الاقتصادية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C24910">
              <w:rPr>
                <w:rFonts w:hint="cs"/>
                <w:rtl/>
                <w:lang w:bidi="ar-JO"/>
              </w:rPr>
              <w:t xml:space="preserve">/ قسم </w:t>
            </w:r>
            <w:r w:rsidR="000C7C66">
              <w:rPr>
                <w:rFonts w:hint="cs"/>
                <w:rtl/>
                <w:lang w:bidi="ar-JO"/>
              </w:rPr>
              <w:t xml:space="preserve">التجارة </w:t>
            </w:r>
            <w:r w:rsidR="00663FC3">
              <w:rPr>
                <w:rFonts w:hint="cs"/>
                <w:rtl/>
                <w:lang w:bidi="ar-JO"/>
              </w:rPr>
              <w:t>الخارجية</w:t>
            </w:r>
            <w:r w:rsidR="000C7C66">
              <w:rPr>
                <w:rFonts w:hint="cs"/>
                <w:rtl/>
                <w:lang w:bidi="ar-JO"/>
              </w:rPr>
              <w:t>-</w:t>
            </w:r>
            <w:r w:rsidR="0025186A">
              <w:rPr>
                <w:lang w:bidi="ar-JO"/>
              </w:rPr>
              <w:t xml:space="preserve"> </w:t>
            </w:r>
            <w:r w:rsidR="0025186A">
              <w:rPr>
                <w:rFonts w:hint="cs"/>
                <w:rtl/>
                <w:lang w:bidi="ar-JO"/>
              </w:rPr>
              <w:t xml:space="preserve"> </w:t>
            </w:r>
            <w:r w:rsidR="00663FC3">
              <w:rPr>
                <w:rFonts w:hint="cs"/>
                <w:rtl/>
                <w:lang w:bidi="ar-JO"/>
              </w:rPr>
              <w:t>علاء الدين محمد الخصاونة</w:t>
            </w:r>
            <w:r w:rsidR="000C7C66">
              <w:rPr>
                <w:rFonts w:hint="cs"/>
                <w:rtl/>
                <w:lang w:bidi="ar-JO"/>
              </w:rPr>
              <w:t xml:space="preserve"> </w:t>
            </w:r>
            <w:r w:rsidRPr="002B7384">
              <w:rPr>
                <w:rFonts w:hint="cs"/>
                <w:rtl/>
                <w:lang w:bidi="ar-JO"/>
              </w:rPr>
              <w:t xml:space="preserve">- تلفون 5300700- فرعي  - </w:t>
            </w:r>
            <w:r w:rsidR="002B7384">
              <w:rPr>
                <w:rFonts w:hint="cs"/>
                <w:rtl/>
                <w:lang w:bidi="ar-JO"/>
              </w:rPr>
              <w:t xml:space="preserve"> </w:t>
            </w:r>
            <w:r w:rsidR="00663FC3">
              <w:rPr>
                <w:rFonts w:hint="cs"/>
                <w:rtl/>
                <w:lang w:bidi="ar-JO"/>
              </w:rPr>
              <w:t>1303</w:t>
            </w:r>
            <w:r w:rsidR="002B7384">
              <w:rPr>
                <w:rFonts w:hint="cs"/>
                <w:rtl/>
                <w:lang w:bidi="ar-JO"/>
              </w:rPr>
              <w:t xml:space="preserve">-  </w:t>
            </w:r>
            <w:r w:rsidRPr="002B7384">
              <w:rPr>
                <w:rFonts w:hint="cs"/>
                <w:rtl/>
                <w:lang w:bidi="ar-JO"/>
              </w:rPr>
              <w:t>بريد إلكتروني</w:t>
            </w:r>
            <w:r w:rsidR="002B7384">
              <w:rPr>
                <w:rFonts w:hint="cs"/>
                <w:rtl/>
                <w:lang w:bidi="ar-JO"/>
              </w:rPr>
              <w:t xml:space="preserve">: </w:t>
            </w:r>
            <w:r w:rsidR="00663FC3">
              <w:rPr>
                <w:lang w:bidi="ar-JO"/>
              </w:rPr>
              <w:t>alaak@dos.gov.jo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011FFC" w:rsidRPr="00C24910" w:rsidRDefault="00011FFC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</w:tcPr>
          <w:p w:rsidR="00011FFC" w:rsidRPr="002B7384" w:rsidRDefault="00011FFC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9C3B73" w:rsidRDefault="00821780" w:rsidP="00C24910">
            <w:pPr>
              <w:spacing w:before="120" w:after="12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الهدف والمرجعية التاريخية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: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</w:p>
          <w:p w:rsidR="00821780" w:rsidRPr="002B7384" w:rsidRDefault="000C7C66" w:rsidP="00663FC3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يهدف </w:t>
            </w:r>
            <w:r w:rsidR="00663FC3">
              <w:rPr>
                <w:rFonts w:hint="cs"/>
                <w:rtl/>
                <w:lang w:bidi="ar-JO"/>
              </w:rPr>
              <w:t>قسم التجاره الخارجية</w:t>
            </w:r>
            <w:r w:rsidR="002B7384">
              <w:rPr>
                <w:rFonts w:hint="cs"/>
                <w:rtl/>
                <w:lang w:bidi="ar-JO"/>
              </w:rPr>
              <w:t xml:space="preserve"> إلى</w:t>
            </w:r>
            <w:r w:rsidR="00821780" w:rsidRPr="002B7384">
              <w:rPr>
                <w:rFonts w:hint="cs"/>
                <w:rtl/>
                <w:lang w:bidi="ar-JO"/>
              </w:rPr>
              <w:t xml:space="preserve">: </w:t>
            </w:r>
          </w:p>
          <w:p w:rsidR="00163A4B" w:rsidRPr="00163A4B" w:rsidRDefault="00163A4B" w:rsidP="00163A4B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rPr>
                <w:rtl/>
                <w:lang w:bidi="ar-JO"/>
              </w:rPr>
            </w:pPr>
            <w:r w:rsidRPr="00163A4B">
              <w:rPr>
                <w:rFonts w:hint="cs"/>
                <w:rtl/>
                <w:lang w:bidi="ar-JO"/>
              </w:rPr>
              <w:t>إصدار تقارير شهرية ونشرة سنوية شاملة لإحصاءات التجارة الخارجية.</w:t>
            </w:r>
          </w:p>
          <w:p w:rsidR="00163A4B" w:rsidRPr="00163A4B" w:rsidRDefault="00163A4B" w:rsidP="00163A4B">
            <w:pPr>
              <w:pStyle w:val="ListParagraph"/>
              <w:numPr>
                <w:ilvl w:val="0"/>
                <w:numId w:val="7"/>
              </w:numPr>
              <w:spacing w:before="240" w:after="240" w:line="360" w:lineRule="auto"/>
              <w:rPr>
                <w:rtl/>
                <w:lang w:bidi="ar-JO"/>
              </w:rPr>
            </w:pPr>
            <w:r w:rsidRPr="00163A4B">
              <w:rPr>
                <w:rtl/>
                <w:lang w:bidi="ar-JO"/>
              </w:rPr>
              <w:t>توفير قاعدة بيانات إحصائية شاملة لإحصاءات التجارة الخارجية شهرية وسنوية حسب الصنف والبلد وحسب وسائط النقل والأغراض الاقتصادية والترانزيت .</w:t>
            </w:r>
          </w:p>
          <w:p w:rsidR="00163A4B" w:rsidRPr="00163A4B" w:rsidRDefault="00163A4B" w:rsidP="00163A4B">
            <w:pPr>
              <w:pStyle w:val="ListParagraph"/>
              <w:numPr>
                <w:ilvl w:val="0"/>
                <w:numId w:val="7"/>
              </w:numPr>
              <w:ind w:right="180"/>
              <w:rPr>
                <w:rtl/>
                <w:lang w:bidi="ar-JO"/>
              </w:rPr>
            </w:pPr>
            <w:r w:rsidRPr="00163A4B">
              <w:rPr>
                <w:rtl/>
                <w:lang w:bidi="ar-JO"/>
              </w:rPr>
              <w:t>حصر ورصد التبادل التجاري بين الدول (الميزان التجاري) .</w:t>
            </w:r>
          </w:p>
          <w:p w:rsidR="00163A4B" w:rsidRPr="00163A4B" w:rsidRDefault="00163A4B" w:rsidP="00163A4B">
            <w:pPr>
              <w:pStyle w:val="ListParagraph"/>
              <w:numPr>
                <w:ilvl w:val="0"/>
                <w:numId w:val="7"/>
              </w:numPr>
              <w:rPr>
                <w:rtl/>
                <w:lang w:bidi="ar-JO"/>
              </w:rPr>
            </w:pPr>
            <w:r w:rsidRPr="00163A4B">
              <w:rPr>
                <w:rtl/>
                <w:lang w:bidi="ar-JO"/>
              </w:rPr>
              <w:t>رفد الباحثين والمخططين ومتخذي القرار بالمعلومة الدقيقة</w:t>
            </w:r>
            <w:r w:rsidRPr="00163A4B">
              <w:rPr>
                <w:rFonts w:hint="cs"/>
                <w:rtl/>
                <w:lang w:bidi="ar-JO"/>
              </w:rPr>
              <w:t xml:space="preserve"> لإحصاءات التجارة الخارجية</w:t>
            </w:r>
          </w:p>
          <w:p w:rsidR="00821780" w:rsidRPr="002B7384" w:rsidRDefault="00821780" w:rsidP="00C24910">
            <w:pPr>
              <w:spacing w:before="120" w:after="24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. </w:t>
            </w:r>
          </w:p>
        </w:tc>
      </w:tr>
      <w:tr w:rsidR="002B7384" w:rsidRPr="002B7384" w:rsidTr="00C24910">
        <w:trPr>
          <w:gridAfter w:val="1"/>
          <w:wAfter w:w="2095" w:type="dxa"/>
        </w:trPr>
        <w:tc>
          <w:tcPr>
            <w:tcW w:w="6427" w:type="dxa"/>
            <w:gridSpan w:val="2"/>
          </w:tcPr>
          <w:p w:rsidR="00712442" w:rsidRDefault="00C24910" w:rsidP="00163A4B">
            <w:pPr>
              <w:spacing w:after="120"/>
              <w:rPr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المرجعية التاريخية</w:t>
            </w:r>
            <w:r w:rsidRPr="009C3B73">
              <w:rPr>
                <w:rFonts w:hint="cs"/>
                <w:rtl/>
                <w:lang w:bidi="ar-JO"/>
              </w:rPr>
              <w:t>:</w:t>
            </w:r>
            <w:r w:rsidR="00473A99">
              <w:rPr>
                <w:rtl/>
              </w:rPr>
              <w:t xml:space="preserve"> </w:t>
            </w:r>
            <w:r w:rsidR="00473A99" w:rsidRPr="00473A99">
              <w:rPr>
                <w:rFonts w:cs="Arial"/>
                <w:rtl/>
                <w:lang w:bidi="ar-JO"/>
              </w:rPr>
              <w:t xml:space="preserve">(يرجى كتابة السنة التي بوشر فيها </w:t>
            </w:r>
            <w:r w:rsidR="00163A4B">
              <w:rPr>
                <w:rFonts w:cs="Arial" w:hint="cs"/>
                <w:rtl/>
                <w:lang w:bidi="ar-JO"/>
              </w:rPr>
              <w:t>ال</w:t>
            </w:r>
            <w:r w:rsidR="00473A99" w:rsidRPr="00473A99">
              <w:rPr>
                <w:rFonts w:cs="Arial"/>
                <w:rtl/>
                <w:lang w:bidi="ar-JO"/>
              </w:rPr>
              <w:t>تنفيذ)</w:t>
            </w:r>
          </w:p>
          <w:p w:rsidR="00473A99" w:rsidRPr="00C24910" w:rsidRDefault="00163A4B" w:rsidP="00473A99">
            <w:pPr>
              <w:spacing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1970</w:t>
            </w:r>
          </w:p>
        </w:tc>
        <w:tc>
          <w:tcPr>
            <w:tcW w:w="3085" w:type="dxa"/>
            <w:gridSpan w:val="2"/>
          </w:tcPr>
          <w:p w:rsidR="00011FFC" w:rsidRPr="002B7384" w:rsidRDefault="00011FFC" w:rsidP="00C24910">
            <w:pPr>
              <w:spacing w:after="120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9C3B73" w:rsidRDefault="00821780" w:rsidP="00C24910">
            <w:pPr>
              <w:spacing w:before="240" w:after="240"/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المستخدم</w:t>
            </w:r>
            <w:r w:rsidR="00F45859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و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ن والتطبيقات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المستخدم</w:t>
            </w:r>
            <w:r w:rsidR="00F45859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و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ن</w:t>
            </w:r>
            <w:r w:rsidRP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2B7384">
              <w:rPr>
                <w:rFonts w:hint="cs"/>
                <w:rtl/>
                <w:lang w:bidi="ar-JO"/>
              </w:rPr>
              <w:t>مديرية الحسابات القومية و</w:t>
            </w:r>
            <w:r w:rsidR="009B57AD">
              <w:rPr>
                <w:rFonts w:hint="cs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>
              <w:rPr>
                <w:rFonts w:hint="cs"/>
                <w:rtl/>
                <w:lang w:bidi="ar-JO"/>
              </w:rPr>
              <w:t xml:space="preserve"> وطلاب الجامعات.</w:t>
            </w:r>
            <w:r w:rsidR="000C7C66">
              <w:rPr>
                <w:rFonts w:hint="cs"/>
                <w:rtl/>
                <w:lang w:bidi="ar-JO"/>
              </w:rPr>
              <w:t>والشركات التجارية المهتمة بدراسات السوق ذات العلاقة.</w:t>
            </w:r>
            <w:r w:rsidR="009B57AD">
              <w:rPr>
                <w:rFonts w:hint="cs"/>
                <w:rtl/>
                <w:lang w:bidi="ar-JO"/>
              </w:rPr>
              <w:t xml:space="preserve"> </w:t>
            </w:r>
          </w:p>
          <w:p w:rsidR="00821780" w:rsidRPr="002B7384" w:rsidRDefault="00821780" w:rsidP="00C24910">
            <w:pPr>
              <w:spacing w:line="360" w:lineRule="auto"/>
              <w:rPr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التطبيقات</w:t>
            </w:r>
            <w:r w:rsidRP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Pr="002B7384">
              <w:rPr>
                <w:rFonts w:hint="cs"/>
                <w:rtl/>
                <w:lang w:bidi="ar-JO"/>
              </w:rPr>
              <w:t xml:space="preserve"> </w:t>
            </w:r>
            <w:r w:rsidR="009B57AD">
              <w:rPr>
                <w:rFonts w:hint="cs"/>
                <w:rtl/>
                <w:lang w:bidi="ar-JO"/>
              </w:rPr>
              <w:t>بناء وتركيب الحسابات القومية والاقتصاد الوطني. والدراسات التفصيلية للقطاعات الاقتصادية المختلفة.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2B7384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821780" w:rsidP="009B57AD">
            <w:pPr>
              <w:rPr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المصدر</w:t>
            </w:r>
            <w:r w:rsidR="00C24910">
              <w:rPr>
                <w:rFonts w:hint="cs"/>
                <w:b/>
                <w:bCs/>
                <w:rtl/>
                <w:lang w:bidi="ar-JO"/>
              </w:rPr>
              <w:t>:</w:t>
            </w:r>
            <w:r w:rsidR="009B57A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24910" w:rsidRDefault="00C24910" w:rsidP="009B57AD">
            <w:pPr>
              <w:rPr>
                <w:rtl/>
                <w:lang w:bidi="ar-JO"/>
              </w:rPr>
            </w:pPr>
          </w:p>
          <w:p w:rsidR="00821780" w:rsidRDefault="00163A4B" w:rsidP="00163A4B">
            <w:pPr>
              <w:pStyle w:val="ListParagraph"/>
              <w:numPr>
                <w:ilvl w:val="0"/>
                <w:numId w:val="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دائره الجمارك العامه كمصدر رئيسي</w:t>
            </w:r>
          </w:p>
          <w:p w:rsidR="00163A4B" w:rsidRPr="002B7384" w:rsidRDefault="00163A4B" w:rsidP="00163A4B">
            <w:pPr>
              <w:pStyle w:val="ListParagraph"/>
              <w:numPr>
                <w:ilvl w:val="0"/>
                <w:numId w:val="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الكتب الرسمية الصادره عن الشركات الكبرى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821780" w:rsidRPr="00C24910" w:rsidRDefault="00821780" w:rsidP="004169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85" w:type="dxa"/>
            <w:gridSpan w:val="2"/>
          </w:tcPr>
          <w:p w:rsidR="00821780" w:rsidRPr="002B7384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9B57AD" w:rsidRPr="009C3B73" w:rsidRDefault="00821780" w:rsidP="004169DA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الهيئة المخولة بجمع البيانات ونشرها</w:t>
            </w:r>
            <w:r w:rsidR="008839C4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</w:p>
          <w:p w:rsidR="009B57AD" w:rsidRDefault="009B57AD" w:rsidP="004169DA">
            <w:pPr>
              <w:rPr>
                <w:b/>
                <w:bCs/>
                <w:rtl/>
                <w:lang w:bidi="ar-JO"/>
              </w:rPr>
            </w:pPr>
          </w:p>
          <w:p w:rsidR="00821780" w:rsidRPr="002B7384" w:rsidRDefault="0082178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12</w:t>
            </w:r>
            <w:r w:rsidRPr="002B7384">
              <w:rPr>
                <w:rFonts w:hint="cs"/>
                <w:rtl/>
                <w:lang w:bidi="ar-JO"/>
              </w:rPr>
              <w:t xml:space="preserve">  لسنة </w:t>
            </w:r>
            <w:r w:rsidR="009B57AD" w:rsidRPr="00C24910">
              <w:rPr>
                <w:rFonts w:asciiTheme="majorBidi" w:hAnsiTheme="majorBidi" w:cstheme="majorBidi"/>
                <w:rtl/>
                <w:lang w:bidi="ar-JO"/>
              </w:rPr>
              <w:t>2012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B211AB" w:rsidRPr="009C3B73" w:rsidRDefault="00F11EE6" w:rsidP="00C24910">
            <w:pPr>
              <w:pStyle w:val="Heading1"/>
              <w:spacing w:before="240" w:after="120"/>
              <w:outlineLvl w:val="0"/>
              <w:rPr>
                <w:color w:val="548DD4" w:themeColor="text2" w:themeTint="99"/>
                <w:rtl/>
                <w:lang w:bidi="ar-JO"/>
              </w:rPr>
            </w:pPr>
            <w:bookmarkStart w:id="1" w:name="_1._المحتويات"/>
            <w:bookmarkEnd w:id="1"/>
            <w:r w:rsidRPr="009C3B73">
              <w:rPr>
                <w:rFonts w:hint="cs"/>
                <w:color w:val="548DD4" w:themeColor="text2" w:themeTint="99"/>
                <w:rtl/>
                <w:lang w:bidi="ar-JO"/>
              </w:rPr>
              <w:t xml:space="preserve">1. </w:t>
            </w:r>
            <w:r w:rsidRPr="009C3B73">
              <w:rPr>
                <w:rFonts w:hint="cs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المحتويات </w:t>
            </w:r>
          </w:p>
        </w:tc>
        <w:tc>
          <w:tcPr>
            <w:tcW w:w="3085" w:type="dxa"/>
            <w:gridSpan w:val="2"/>
          </w:tcPr>
          <w:p w:rsidR="00B211AB" w:rsidRPr="002B7384" w:rsidRDefault="00B211AB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C24910" w:rsidRPr="009C3B73" w:rsidRDefault="00821780" w:rsidP="00C24910">
            <w:pPr>
              <w:pStyle w:val="ListParagraph"/>
              <w:numPr>
                <w:ilvl w:val="1"/>
                <w:numId w:val="4"/>
              </w:numPr>
              <w:spacing w:before="120" w:after="12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وصف المحتويات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:</w:t>
            </w:r>
          </w:p>
          <w:p w:rsidR="00712442" w:rsidRPr="005A2328" w:rsidRDefault="00C24910" w:rsidP="005A2328">
            <w:pPr>
              <w:spacing w:before="120" w:after="120"/>
              <w:rPr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الوحدة الإحصائية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="00821780" w:rsidRPr="00C249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A2328">
              <w:rPr>
                <w:rFonts w:hint="cs"/>
                <w:rtl/>
                <w:lang w:bidi="ar-JO"/>
              </w:rPr>
              <w:t xml:space="preserve">يشمل جميع البيانات الوارده من دائره الجمارك بشكل شهري والتي تتضمن بيانات عن السلعه ورمزها حسب ال </w:t>
            </w:r>
            <w:r w:rsidR="005A2328">
              <w:rPr>
                <w:lang w:bidi="ar-JO"/>
              </w:rPr>
              <w:t>H.S)</w:t>
            </w:r>
            <w:r w:rsidR="005A2328">
              <w:rPr>
                <w:rFonts w:hint="cs"/>
                <w:rtl/>
                <w:lang w:bidi="ar-JO"/>
              </w:rPr>
              <w:t>) وقيمه السلعه والكمية وبلد المنشا سواء كانت مستوردات او صادرات او معاد تصديره</w:t>
            </w:r>
          </w:p>
          <w:p w:rsidR="00821780" w:rsidRPr="002B7384" w:rsidRDefault="00821780" w:rsidP="005A2328">
            <w:pPr>
              <w:spacing w:line="360" w:lineRule="auto"/>
              <w:jc w:val="both"/>
              <w:rPr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821780" w:rsidRPr="00C24910" w:rsidRDefault="0082178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spacing w:after="24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1-</w:t>
            </w:r>
            <w:r w:rsidR="00C24910"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2</w:t>
            </w: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المتغيرات </w:t>
            </w:r>
          </w:p>
          <w:p w:rsidR="00054642" w:rsidRPr="002B7384" w:rsidRDefault="00054642" w:rsidP="00C24910">
            <w:pPr>
              <w:spacing w:before="120" w:after="12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قيمه الاستيراد والتصدير والمعاد تصديره الشهري ، وكذلك العجز في الميزان التجاري الشهري ، وقيمه التبادل التجاري بين الاردن وباقي دول العالم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1-</w:t>
            </w:r>
            <w:r w:rsidR="00C24910"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3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التصنيفات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054642" w:rsidRPr="00813ADA" w:rsidRDefault="00054642" w:rsidP="00054642">
            <w:pPr>
              <w:pStyle w:val="BodyTextIndent"/>
              <w:spacing w:line="360" w:lineRule="auto"/>
              <w:ind w:left="364" w:hanging="360"/>
              <w:jc w:val="both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 w:rsidRPr="00813ADA"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  <w:t xml:space="preserve">أهم أنواع التصانيف: </w:t>
            </w:r>
          </w:p>
          <w:p w:rsidR="00054642" w:rsidRPr="00054642" w:rsidRDefault="00054642" w:rsidP="00054642">
            <w:pPr>
              <w:pStyle w:val="BodyTextIndent"/>
              <w:numPr>
                <w:ilvl w:val="0"/>
                <w:numId w:val="9"/>
              </w:numPr>
              <w:tabs>
                <w:tab w:val="clear" w:pos="720"/>
                <w:tab w:val="num" w:pos="364"/>
              </w:tabs>
              <w:ind w:left="364" w:right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التصنيف المعياري للتجارة الدولية</w:t>
            </w:r>
          </w:p>
          <w:p w:rsidR="00054642" w:rsidRPr="00054642" w:rsidRDefault="00054642" w:rsidP="00054642">
            <w:pPr>
              <w:pStyle w:val="BodyTextIndent"/>
              <w:ind w:left="36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 xml:space="preserve">Standard International Trade Classification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(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SITC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)</w:t>
            </w:r>
          </w:p>
          <w:p w:rsidR="00054642" w:rsidRPr="00054642" w:rsidRDefault="00054642" w:rsidP="00054642">
            <w:pPr>
              <w:pStyle w:val="BodyTextIndent"/>
              <w:ind w:left="36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وهو تصنيف صادر عن الأمم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المتحدة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ويشمل كافة السلع في التجارة الدولية .</w:t>
            </w:r>
          </w:p>
          <w:p w:rsidR="00054642" w:rsidRPr="00054642" w:rsidRDefault="00054642" w:rsidP="00054642">
            <w:pPr>
              <w:pStyle w:val="BodyTextIndent"/>
              <w:ind w:left="364" w:hanging="36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2.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التصنيف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الصناعي</w:t>
            </w: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 المعياري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الدولي لجميع الأنشطة الاقتصادية</w:t>
            </w:r>
          </w:p>
          <w:p w:rsidR="00054642" w:rsidRPr="00054642" w:rsidRDefault="00054642" w:rsidP="00054642">
            <w:pPr>
              <w:pStyle w:val="BodyTextIndent"/>
              <w:ind w:left="364" w:hanging="36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    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(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ISIC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)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International Standard Industrial Classification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</w:t>
            </w:r>
          </w:p>
          <w:p w:rsidR="00054642" w:rsidRPr="00054642" w:rsidRDefault="00054642" w:rsidP="00054642">
            <w:pPr>
              <w:pStyle w:val="BodyTextIndent"/>
              <w:ind w:left="36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وهو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تصنيف حسب نوع النشاط (صناعة، زراعة، كهرباء، إنشاءات) الأمم المتحدة .</w:t>
            </w:r>
          </w:p>
          <w:p w:rsidR="00054642" w:rsidRPr="00054642" w:rsidRDefault="00054642" w:rsidP="00054642">
            <w:pPr>
              <w:pStyle w:val="BodyTextIndent"/>
              <w:ind w:right="206" w:hanging="356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3.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تصنيف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السلع حسب الأغراض الاقتصادية للتجارة الخارجية – الأمم المتحدة</w:t>
            </w: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 </w:t>
            </w:r>
          </w:p>
          <w:p w:rsidR="00054642" w:rsidRPr="00054642" w:rsidRDefault="00054642" w:rsidP="00054642">
            <w:pPr>
              <w:pStyle w:val="BodyTextIndent"/>
              <w:ind w:left="364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 (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BEC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)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Broad Economic Categories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. </w:t>
            </w:r>
          </w:p>
          <w:p w:rsidR="00054642" w:rsidRPr="00054642" w:rsidRDefault="00054642" w:rsidP="00054642">
            <w:pPr>
              <w:pStyle w:val="BodyTextIndent"/>
              <w:ind w:left="364" w:right="206" w:hanging="36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4.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التصنيف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المركزي للمنتجات</w:t>
            </w:r>
          </w:p>
          <w:p w:rsidR="00054642" w:rsidRPr="00054642" w:rsidRDefault="00054642" w:rsidP="00054642">
            <w:pPr>
              <w:pStyle w:val="BodyTextIndent"/>
              <w:ind w:left="364" w:firstLine="15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(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CPC</w:t>
            </w: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>)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Central Products Classifications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–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>الأمم المتحدة</w:t>
            </w: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>.</w:t>
            </w:r>
          </w:p>
          <w:p w:rsidR="00054642" w:rsidRPr="00054642" w:rsidRDefault="00054642" w:rsidP="00054642">
            <w:pPr>
              <w:pStyle w:val="BodyTextIndent"/>
              <w:ind w:hanging="356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JO"/>
              </w:rPr>
              <w:t xml:space="preserve">5.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النظام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المنسق لتصنيف السلع (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>HS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) 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JO"/>
              </w:rPr>
              <w:t xml:space="preserve">Harmonized System </w:t>
            </w:r>
          </w:p>
          <w:p w:rsidR="00054642" w:rsidRPr="00054642" w:rsidRDefault="00054642" w:rsidP="00054642">
            <w:pPr>
              <w:pStyle w:val="BodyTextIndent"/>
              <w:ind w:left="566" w:hanging="202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</w:pP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وهو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تصنيف يشمل كافة السلع </w:t>
            </w:r>
            <w:r w:rsidRPr="00054642">
              <w:rPr>
                <w:rFonts w:asciiTheme="minorHAnsi" w:eastAsiaTheme="minorHAnsi" w:hAnsiTheme="minorHAnsi" w:cstheme="minorBidi" w:hint="eastAsia"/>
                <w:sz w:val="22"/>
                <w:szCs w:val="22"/>
                <w:rtl/>
                <w:lang w:eastAsia="en-US" w:bidi="ar-JO"/>
              </w:rPr>
              <w:t>وهو</w:t>
            </w:r>
            <w:r w:rsidRPr="00054642"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JO"/>
              </w:rPr>
              <w:t xml:space="preserve"> صادر عن منظمة الجمارك العالمية .</w:t>
            </w:r>
          </w:p>
          <w:p w:rsidR="003A7DE0" w:rsidRPr="002B7384" w:rsidRDefault="003A7DE0" w:rsidP="00C2491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tl/>
                <w:lang w:bidi="ar-JO"/>
              </w:rPr>
            </w:pPr>
          </w:p>
        </w:tc>
      </w:tr>
      <w:tr w:rsidR="002B7384" w:rsidRPr="002B7384" w:rsidTr="00C24910">
        <w:tc>
          <w:tcPr>
            <w:tcW w:w="8522" w:type="dxa"/>
            <w:gridSpan w:val="3"/>
          </w:tcPr>
          <w:p w:rsidR="00642753" w:rsidRPr="009C3B73" w:rsidRDefault="009A0305" w:rsidP="00C24910">
            <w:pPr>
              <w:pStyle w:val="Heading1"/>
              <w:spacing w:before="240" w:after="120"/>
              <w:outlineLvl w:val="0"/>
              <w:rPr>
                <w:color w:val="548DD4" w:themeColor="text2" w:themeTint="99"/>
                <w:rtl/>
                <w:lang w:bidi="ar-JO"/>
              </w:rPr>
            </w:pPr>
            <w:bookmarkStart w:id="2" w:name="_2-_الوقت"/>
            <w:bookmarkEnd w:id="2"/>
            <w:r w:rsidRPr="009C3B73">
              <w:rPr>
                <w:rFonts w:hint="cs"/>
                <w:color w:val="548DD4" w:themeColor="text2" w:themeTint="99"/>
                <w:sz w:val="24"/>
                <w:szCs w:val="24"/>
                <w:rtl/>
                <w:lang w:bidi="ar-JO"/>
              </w:rPr>
              <w:t>2-</w:t>
            </w:r>
            <w:r w:rsidRPr="009C3B73">
              <w:rPr>
                <w:rFonts w:hint="cs"/>
                <w:color w:val="548DD4" w:themeColor="text2" w:themeTint="99"/>
                <w:rtl/>
                <w:lang w:bidi="ar-JO"/>
              </w:rPr>
              <w:t xml:space="preserve"> الوقت </w:t>
            </w:r>
          </w:p>
          <w:p w:rsidR="009B57AD" w:rsidRPr="009B57AD" w:rsidRDefault="00054642" w:rsidP="00C24910">
            <w:pPr>
              <w:tabs>
                <w:tab w:val="left" w:pos="5219"/>
              </w:tabs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ينفذ التقرير بشكل شهري</w:t>
            </w:r>
          </w:p>
        </w:tc>
        <w:tc>
          <w:tcPr>
            <w:tcW w:w="3085" w:type="dxa"/>
            <w:gridSpan w:val="2"/>
          </w:tcPr>
          <w:p w:rsidR="00642753" w:rsidRPr="002B7384" w:rsidRDefault="00642753" w:rsidP="00C24910">
            <w:pPr>
              <w:spacing w:before="240" w:after="120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spacing w:before="240" w:after="12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2-1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الفترة المرجعية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: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</w:p>
          <w:p w:rsidR="00712442" w:rsidRPr="002B7384" w:rsidRDefault="009B57AD" w:rsidP="00054642">
            <w:pPr>
              <w:spacing w:before="24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تغطي </w:t>
            </w:r>
            <w:r w:rsidR="00C24910">
              <w:rPr>
                <w:rFonts w:hint="cs"/>
                <w:rtl/>
                <w:lang w:bidi="ar-JO"/>
              </w:rPr>
              <w:t xml:space="preserve">البيانات </w:t>
            </w:r>
            <w:r w:rsidR="00054642">
              <w:rPr>
                <w:rFonts w:hint="cs"/>
                <w:rtl/>
                <w:lang w:bidi="ar-JO"/>
              </w:rPr>
              <w:t>شهر ميلادي كامل</w:t>
            </w: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2-2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التا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ريخ</w:t>
            </w:r>
            <w:r w:rsidR="00C24910"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>:</w:t>
            </w:r>
          </w:p>
          <w:p w:rsidR="003A7DE0" w:rsidRPr="002B7384" w:rsidRDefault="00C24910" w:rsidP="00054642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متوفر: التاريخ </w:t>
            </w:r>
            <w:r w:rsidR="00054642">
              <w:rPr>
                <w:rFonts w:hint="cs"/>
                <w:rtl/>
                <w:lang w:bidi="ar-JO"/>
              </w:rPr>
              <w:t>الشهري</w:t>
            </w:r>
            <w:r>
              <w:rPr>
                <w:rFonts w:hint="cs"/>
                <w:rtl/>
                <w:lang w:bidi="ar-JO"/>
              </w:rPr>
              <w:t xml:space="preserve"> لنشر هذه البيانات محدد مسبقا من خلال الرزنامة الإحصائية لنشر البيانات الإحصائية.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9B57AD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 xml:space="preserve">2-3 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الالتزام بالنشر </w:t>
            </w:r>
          </w:p>
          <w:p w:rsidR="003A7DE0" w:rsidRPr="002B7384" w:rsidRDefault="00C24910" w:rsidP="00C24910">
            <w:pPr>
              <w:spacing w:before="24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>
              <w:rPr>
                <w:lang w:bidi="ar-JO"/>
              </w:rPr>
              <w:t>SDDS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9C3B73" w:rsidRDefault="003A7DE0" w:rsidP="009B57AD">
            <w:pPr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2-</w:t>
            </w: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lang w:bidi="ar-JO"/>
              </w:rPr>
              <w:t>4</w:t>
            </w: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 xml:space="preserve"> 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التكرار </w:t>
            </w:r>
            <w:r w:rsidR="00C24910" w:rsidRPr="009C3B73">
              <w:rPr>
                <w:rFonts w:hint="cs"/>
                <w:color w:val="548DD4" w:themeColor="text2" w:themeTint="99"/>
                <w:rtl/>
                <w:lang w:bidi="ar-JO"/>
              </w:rPr>
              <w:t>:</w:t>
            </w:r>
          </w:p>
          <w:p w:rsidR="003A7DE0" w:rsidRPr="002B7384" w:rsidRDefault="00C24910" w:rsidP="00054642">
            <w:pPr>
              <w:spacing w:before="120" w:after="1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يتم اجراء </w:t>
            </w:r>
            <w:r w:rsidR="00054642">
              <w:rPr>
                <w:rFonts w:hint="cs"/>
                <w:rtl/>
                <w:lang w:bidi="ar-JO"/>
              </w:rPr>
              <w:t>تقرير شهري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spacing w:before="24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2-5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توفر سلسلة زمنية </w:t>
            </w:r>
          </w:p>
          <w:p w:rsidR="001B4C2C" w:rsidRDefault="001B4C2C" w:rsidP="001B4C2C">
            <w:pPr>
              <w:rPr>
                <w:rtl/>
                <w:lang w:bidi="ar-JO"/>
              </w:rPr>
            </w:pPr>
          </w:p>
          <w:p w:rsidR="00C24910" w:rsidRDefault="001B4C2C" w:rsidP="00054642">
            <w:pPr>
              <w:spacing w:line="360" w:lineRule="auto"/>
              <w:ind w:right="284"/>
              <w:rPr>
                <w:rFonts w:asciiTheme="majorBidi" w:hAnsiTheme="majorBidi" w:cstheme="majorBidi"/>
                <w:rtl/>
                <w:lang w:bidi="ar-JO"/>
              </w:rPr>
            </w:pPr>
            <w:r w:rsidRPr="00C24910">
              <w:rPr>
                <w:rFonts w:asciiTheme="majorBidi" w:hAnsiTheme="majorBidi" w:cstheme="majorBidi"/>
                <w:rtl/>
                <w:lang w:bidi="ar-JO"/>
              </w:rPr>
              <w:t>تتوفر سلسلة زمنية</w:t>
            </w:r>
            <w:r w:rsidR="00054642">
              <w:rPr>
                <w:rFonts w:asciiTheme="majorBidi" w:hAnsiTheme="majorBidi" w:cstheme="majorBidi" w:hint="cs"/>
                <w:rtl/>
                <w:lang w:bidi="ar-JO"/>
              </w:rPr>
              <w:t xml:space="preserve"> شهريه</w:t>
            </w:r>
            <w:r w:rsidR="00C24910" w:rsidRPr="00C24910">
              <w:rPr>
                <w:rFonts w:asciiTheme="majorBidi" w:hAnsiTheme="majorBidi" w:cstheme="majorBidi"/>
                <w:rtl/>
                <w:lang w:bidi="ar-JO"/>
              </w:rPr>
              <w:t xml:space="preserve"> للبيانات والمتغيرات الرئيسية من عام </w:t>
            </w:r>
            <w:r w:rsidRPr="00C24910">
              <w:rPr>
                <w:rFonts w:asciiTheme="majorBidi" w:hAnsiTheme="majorBidi" w:cstheme="majorBidi"/>
                <w:rtl/>
                <w:lang w:bidi="ar-JO"/>
              </w:rPr>
              <w:t xml:space="preserve"> 1994-</w:t>
            </w:r>
            <w:r w:rsidR="00054642">
              <w:rPr>
                <w:rFonts w:asciiTheme="majorBidi" w:hAnsiTheme="majorBidi" w:cstheme="majorBidi" w:hint="cs"/>
                <w:rtl/>
                <w:lang w:bidi="ar-JO"/>
              </w:rPr>
              <w:t xml:space="preserve"> 2021</w:t>
            </w:r>
            <w:r w:rsidR="00C24910">
              <w:rPr>
                <w:rFonts w:asciiTheme="majorBidi" w:hAnsiTheme="majorBidi" w:cstheme="majorBidi" w:hint="cs"/>
                <w:rtl/>
                <w:lang w:bidi="ar-JO"/>
              </w:rPr>
              <w:t xml:space="preserve">  </w:t>
            </w:r>
          </w:p>
          <w:p w:rsidR="00C24910" w:rsidRPr="002B7384" w:rsidRDefault="00C24910" w:rsidP="00054642">
            <w:pPr>
              <w:spacing w:line="360" w:lineRule="auto"/>
              <w:ind w:right="284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9C3B73" w:rsidRDefault="00756203" w:rsidP="00C24910">
            <w:pPr>
              <w:pStyle w:val="Heading1"/>
              <w:spacing w:before="240"/>
              <w:outlineLvl w:val="0"/>
              <w:rPr>
                <w:color w:val="548DD4" w:themeColor="text2" w:themeTint="99"/>
                <w:rtl/>
                <w:lang w:bidi="ar-JO"/>
              </w:rPr>
            </w:pPr>
            <w:bookmarkStart w:id="3" w:name="_3-_مستوى_الدقة"/>
            <w:bookmarkEnd w:id="3"/>
            <w:r w:rsidRPr="009C3B73">
              <w:rPr>
                <w:rFonts w:hint="cs"/>
                <w:color w:val="548DD4" w:themeColor="text2" w:themeTint="99"/>
                <w:sz w:val="24"/>
                <w:szCs w:val="24"/>
                <w:rtl/>
                <w:lang w:bidi="ar-JO"/>
              </w:rPr>
              <w:lastRenderedPageBreak/>
              <w:t>3-</w:t>
            </w:r>
            <w:r w:rsidRPr="009C3B73">
              <w:rPr>
                <w:rFonts w:hint="cs"/>
                <w:color w:val="548DD4" w:themeColor="text2" w:themeTint="99"/>
                <w:rtl/>
                <w:lang w:bidi="ar-JO"/>
              </w:rPr>
              <w:t xml:space="preserve"> مستوى الدقة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9B57AD" w:rsidRPr="009C3B73" w:rsidRDefault="00D03004" w:rsidP="009B57AD">
            <w:pPr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3-1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الدقة الكلية </w:t>
            </w:r>
          </w:p>
          <w:p w:rsidR="005902E8" w:rsidRPr="005902E8" w:rsidRDefault="005902E8" w:rsidP="005902E8">
            <w:pPr>
              <w:ind w:firstLine="357"/>
              <w:jc w:val="both"/>
              <w:rPr>
                <w:rFonts w:ascii="Calibri" w:eastAsia="Calibri" w:hAnsi="Calibri" w:cs="Arial"/>
                <w:rtl/>
                <w:lang w:bidi="ar-JO"/>
              </w:rPr>
            </w:pP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يتم تصحيح الأخطاء في </w:t>
            </w:r>
            <w:r>
              <w:rPr>
                <w:rFonts w:ascii="Calibri" w:eastAsia="Calibri" w:hAnsi="Calibri" w:cs="Arial" w:hint="cs"/>
                <w:rtl/>
                <w:lang w:bidi="ar-JO"/>
              </w:rPr>
              <w:t>البيانات سواء من بيانات الجمارك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bidi="ar-JO"/>
              </w:rPr>
              <w:t>او من بيانات الكتب الرسمية من الشركات الكبيره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 واستخراج كشوفات جديدة يتم تدقيقها بنفس الطريقة </w:t>
            </w:r>
            <w:r w:rsidRPr="005902E8">
              <w:rPr>
                <w:rFonts w:ascii="Calibri" w:eastAsia="Calibri" w:hAnsi="Calibri" w:cs="Arial" w:hint="cs"/>
                <w:rtl/>
                <w:lang w:bidi="ar-JO"/>
              </w:rPr>
              <w:t>و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في حال وجود أخطاء إما من </w:t>
            </w:r>
            <w:r w:rsidRPr="005902E8">
              <w:rPr>
                <w:rFonts w:ascii="Calibri" w:eastAsia="Calibri" w:hAnsi="Calibri" w:cs="Arial" w:hint="cs"/>
                <w:rtl/>
                <w:lang w:bidi="ar-JO"/>
              </w:rPr>
              <w:t xml:space="preserve">خلال 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>آلية الترميز أو من مدخل</w:t>
            </w:r>
            <w:r w:rsidRPr="005902E8">
              <w:rPr>
                <w:rFonts w:ascii="Calibri" w:eastAsia="Calibri" w:hAnsi="Calibri" w:cs="Arial" w:hint="cs"/>
                <w:rtl/>
                <w:lang w:bidi="ar-JO"/>
              </w:rPr>
              <w:t>ه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 البيانات </w:t>
            </w:r>
            <w:r w:rsidRPr="005902E8">
              <w:rPr>
                <w:rFonts w:ascii="Calibri" w:eastAsia="Calibri" w:hAnsi="Calibri" w:cs="Arial" w:hint="cs"/>
                <w:rtl/>
                <w:lang w:bidi="ar-JO"/>
              </w:rPr>
              <w:t>وبعد ذلك</w:t>
            </w:r>
            <w:r w:rsidRPr="005902E8">
              <w:rPr>
                <w:rFonts w:ascii="Calibri" w:eastAsia="Calibri" w:hAnsi="Calibri" w:cs="Arial"/>
                <w:rtl/>
                <w:lang w:bidi="ar-JO"/>
              </w:rPr>
              <w:t xml:space="preserve"> يتم استخراج كشوفات للمرة الثالثة .. وفي هذه المرحلة يجب أن تكون البيانات قد نقحت بنسبة عالية حيث يقوم المدققون بإعادة تدقيقها والتأكد من صحة البيانات فيها.</w:t>
            </w:r>
          </w:p>
          <w:p w:rsidR="00C24910" w:rsidRPr="002B7384" w:rsidRDefault="00C24910" w:rsidP="005902E8">
            <w:pPr>
              <w:spacing w:before="120" w:line="360" w:lineRule="auto"/>
              <w:ind w:left="360"/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D03004" w:rsidRPr="009C3B73" w:rsidRDefault="00D03004" w:rsidP="00C24910">
            <w:pPr>
              <w:spacing w:before="120" w:after="120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 xml:space="preserve">3-2 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مصادر عدم الدقة </w:t>
            </w:r>
          </w:p>
          <w:p w:rsidR="00C24910" w:rsidRPr="002B7384" w:rsidRDefault="005902E8" w:rsidP="00C249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الاخطاء في بيانات الجمارك</w:t>
            </w:r>
            <w:r w:rsidR="00D03004" w:rsidRPr="002B7384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9C3B73" w:rsidRDefault="00712442" w:rsidP="0054048F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</w:p>
          <w:p w:rsidR="009B57AD" w:rsidRPr="009C3B73" w:rsidRDefault="003A7DE0" w:rsidP="009B57AD">
            <w:pPr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 xml:space="preserve">3-3 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مقاييس الدقة المتوفرة </w:t>
            </w:r>
          </w:p>
          <w:p w:rsidR="003A7DE0" w:rsidRPr="002B7384" w:rsidRDefault="003A7DE0" w:rsidP="00C24910">
            <w:pPr>
              <w:spacing w:before="120" w:after="120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9C3B73" w:rsidRDefault="00756203" w:rsidP="00C24910">
            <w:pPr>
              <w:pStyle w:val="Heading1"/>
              <w:spacing w:before="240"/>
              <w:outlineLvl w:val="0"/>
              <w:rPr>
                <w:color w:val="548DD4" w:themeColor="text2" w:themeTint="99"/>
                <w:rtl/>
                <w:lang w:bidi="ar-JO"/>
              </w:rPr>
            </w:pPr>
            <w:bookmarkStart w:id="4" w:name="_4-_المقارنة"/>
            <w:bookmarkEnd w:id="4"/>
            <w:r w:rsidRPr="009C3B73">
              <w:rPr>
                <w:rFonts w:hint="cs"/>
                <w:color w:val="548DD4" w:themeColor="text2" w:themeTint="99"/>
                <w:rtl/>
                <w:lang w:bidi="ar-JO"/>
              </w:rPr>
              <w:t xml:space="preserve">4- المقارنة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3A7DE0" w:rsidRPr="009C3B73" w:rsidRDefault="003A7DE0" w:rsidP="009B57AD">
            <w:pPr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4-1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المقارنة عبر الزمن 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3A7DE0" w:rsidRPr="002B7384" w:rsidRDefault="003A7DE0" w:rsidP="004169DA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2B7384" w:rsidRDefault="00712442" w:rsidP="0054048F">
            <w:pPr>
              <w:rPr>
                <w:b/>
                <w:bCs/>
                <w:rtl/>
                <w:lang w:bidi="ar-JO"/>
              </w:rPr>
            </w:pPr>
          </w:p>
          <w:p w:rsidR="00712442" w:rsidRPr="009C3B73" w:rsidRDefault="00E77F16" w:rsidP="009B57AD">
            <w:pPr>
              <w:rPr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JO"/>
              </w:rPr>
              <w:t>4-2</w:t>
            </w: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 المقارنة مع الإحصاءات الأخرى</w:t>
            </w:r>
          </w:p>
          <w:p w:rsidR="00712442" w:rsidRPr="002B7384" w:rsidRDefault="00712442" w:rsidP="004169DA">
            <w:pPr>
              <w:rPr>
                <w:rtl/>
                <w:lang w:bidi="ar-JO"/>
              </w:rPr>
            </w:pPr>
          </w:p>
          <w:p w:rsidR="00E77F16" w:rsidRPr="002B7384" w:rsidRDefault="00E77F16" w:rsidP="009B57AD">
            <w:pPr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2B7384" w:rsidTr="00C24910">
        <w:trPr>
          <w:gridAfter w:val="2"/>
          <w:wAfter w:w="3087" w:type="dxa"/>
        </w:trPr>
        <w:tc>
          <w:tcPr>
            <w:tcW w:w="5435" w:type="dxa"/>
          </w:tcPr>
          <w:p w:rsidR="00756203" w:rsidRPr="009C3B73" w:rsidRDefault="009939D4" w:rsidP="00CC5FDC">
            <w:pPr>
              <w:pStyle w:val="Heading1"/>
              <w:outlineLvl w:val="0"/>
              <w:rPr>
                <w:color w:val="548DD4" w:themeColor="text2" w:themeTint="99"/>
                <w:rtl/>
                <w:lang w:bidi="ar-JO"/>
              </w:rPr>
            </w:pPr>
            <w:bookmarkStart w:id="5" w:name="_5-_الوصول_للبيانات"/>
            <w:bookmarkEnd w:id="5"/>
            <w:r w:rsidRPr="009C3B73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>5-</w:t>
            </w:r>
            <w:r w:rsidRPr="009C3B73">
              <w:rPr>
                <w:rFonts w:hint="cs"/>
                <w:color w:val="548DD4" w:themeColor="text2" w:themeTint="99"/>
                <w:rtl/>
                <w:lang w:bidi="ar-JO"/>
              </w:rPr>
              <w:t xml:space="preserve"> الوصول للبيانات </w:t>
            </w:r>
          </w:p>
        </w:tc>
        <w:tc>
          <w:tcPr>
            <w:tcW w:w="3085" w:type="dxa"/>
            <w:gridSpan w:val="2"/>
          </w:tcPr>
          <w:p w:rsidR="00756203" w:rsidRPr="002B7384" w:rsidRDefault="00756203" w:rsidP="004169DA">
            <w:pPr>
              <w:rPr>
                <w:rtl/>
                <w:lang w:bidi="ar-JO"/>
              </w:rPr>
            </w:pPr>
          </w:p>
        </w:tc>
      </w:tr>
      <w:tr w:rsidR="009B57AD" w:rsidRPr="002B7384" w:rsidTr="00C24910">
        <w:trPr>
          <w:gridAfter w:val="2"/>
          <w:wAfter w:w="3087" w:type="dxa"/>
        </w:trPr>
        <w:tc>
          <w:tcPr>
            <w:tcW w:w="8520" w:type="dxa"/>
            <w:gridSpan w:val="3"/>
          </w:tcPr>
          <w:p w:rsidR="003A7DE0" w:rsidRPr="009C3B73" w:rsidRDefault="003A7DE0" w:rsidP="00C24910">
            <w:pPr>
              <w:spacing w:line="360" w:lineRule="auto"/>
              <w:rPr>
                <w:b/>
                <w:bCs/>
                <w:color w:val="548DD4" w:themeColor="text2" w:themeTint="99"/>
                <w:rtl/>
                <w:lang w:bidi="ar-JO"/>
              </w:rPr>
            </w:pPr>
            <w:r w:rsidRPr="009C3B73">
              <w:rPr>
                <w:rFonts w:hint="cs"/>
                <w:b/>
                <w:bCs/>
                <w:color w:val="548DD4" w:themeColor="text2" w:themeTint="99"/>
                <w:rtl/>
                <w:lang w:bidi="ar-JO"/>
              </w:rPr>
              <w:t xml:space="preserve">5-1 شكل النشر </w:t>
            </w:r>
          </w:p>
          <w:p w:rsidR="003A7DE0" w:rsidRPr="002B7384" w:rsidRDefault="003A7DE0" w:rsidP="000C7C66">
            <w:pPr>
              <w:spacing w:line="360" w:lineRule="auto"/>
              <w:rPr>
                <w:rtl/>
                <w:lang w:bidi="ar-JO"/>
              </w:rPr>
            </w:pPr>
            <w:r w:rsidRPr="002B7384">
              <w:rPr>
                <w:rFonts w:hint="cs"/>
                <w:rtl/>
                <w:lang w:bidi="ar-JO"/>
              </w:rPr>
              <w:t>تنشر البيانات ورقياً</w:t>
            </w:r>
            <w:r w:rsidR="000C7C66">
              <w:rPr>
                <w:rFonts w:hint="cs"/>
                <w:rtl/>
                <w:lang w:bidi="ar-JO"/>
              </w:rPr>
              <w:t xml:space="preserve"> بنشرة سنوية متوفرة في مكتبة دائرة الاحصاءات</w:t>
            </w:r>
            <w:r w:rsidRPr="002B7384">
              <w:rPr>
                <w:rFonts w:hint="cs"/>
                <w:rtl/>
                <w:lang w:bidi="ar-JO"/>
              </w:rPr>
              <w:t xml:space="preserve"> وإلكترونياً على موقع دائرة الإحصاءات العامة </w:t>
            </w:r>
          </w:p>
          <w:p w:rsidR="009B57AD" w:rsidRDefault="009B57AD" w:rsidP="00C24910">
            <w:pPr>
              <w:spacing w:line="360" w:lineRule="auto"/>
              <w:rPr>
                <w:lang w:bidi="ar-JO"/>
              </w:rPr>
            </w:pPr>
            <w:r w:rsidRPr="00B8265A">
              <w:rPr>
                <w:lang w:bidi="ar-JO"/>
              </w:rPr>
              <w:t>http://www.dos.gov</w:t>
            </w:r>
            <w:r w:rsidR="00B8265A">
              <w:rPr>
                <w:lang w:bidi="ar-JO"/>
              </w:rPr>
              <w:t>.jo</w:t>
            </w:r>
          </w:p>
          <w:p w:rsidR="003A7DE0" w:rsidRPr="009B57AD" w:rsidRDefault="009B57AD" w:rsidP="00B8265A">
            <w:pPr>
              <w:spacing w:line="360" w:lineRule="auto"/>
              <w:rPr>
                <w:rtl/>
                <w:lang w:bidi="ar-JO"/>
              </w:rPr>
            </w:pPr>
            <w:r w:rsidRPr="00B8265A">
              <w:rPr>
                <w:lang w:bidi="ar-JO"/>
              </w:rPr>
              <w:t>http://www.dos.gov.</w:t>
            </w:r>
            <w:r w:rsidR="00B8265A">
              <w:rPr>
                <w:lang w:bidi="ar-JO"/>
              </w:rPr>
              <w:t>jo</w:t>
            </w:r>
          </w:p>
        </w:tc>
      </w:tr>
    </w:tbl>
    <w:p w:rsidR="00B237D5" w:rsidRPr="002B7384" w:rsidRDefault="00B237D5">
      <w:pPr>
        <w:rPr>
          <w:rtl/>
          <w:lang w:bidi="ar-JO"/>
        </w:rPr>
      </w:pPr>
    </w:p>
    <w:p w:rsidR="00B12518" w:rsidRPr="002B7384" w:rsidRDefault="00B12518">
      <w:pPr>
        <w:rPr>
          <w:lang w:bidi="ar-JO"/>
        </w:rPr>
      </w:pPr>
    </w:p>
    <w:sectPr w:rsidR="00B12518" w:rsidRPr="002B7384" w:rsidSect="00E83A6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4C" w:rsidRDefault="00BB634C" w:rsidP="000031B4">
      <w:pPr>
        <w:spacing w:after="0" w:line="240" w:lineRule="auto"/>
      </w:pPr>
      <w:r>
        <w:separator/>
      </w:r>
    </w:p>
  </w:endnote>
  <w:endnote w:type="continuationSeparator" w:id="0">
    <w:p w:rsidR="00BB634C" w:rsidRDefault="00BB634C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58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4C" w:rsidRDefault="00BB634C" w:rsidP="000031B4">
      <w:pPr>
        <w:spacing w:after="0" w:line="240" w:lineRule="auto"/>
      </w:pPr>
      <w:r>
        <w:separator/>
      </w:r>
    </w:p>
  </w:footnote>
  <w:footnote w:type="continuationSeparator" w:id="0">
    <w:p w:rsidR="00BB634C" w:rsidRDefault="00BB634C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289"/>
    <w:multiLevelType w:val="hybridMultilevel"/>
    <w:tmpl w:val="764818B4"/>
    <w:lvl w:ilvl="0" w:tplc="A5869FC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798B"/>
    <w:multiLevelType w:val="multilevel"/>
    <w:tmpl w:val="2CD2F126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2">
    <w:nsid w:val="27DE26F3"/>
    <w:multiLevelType w:val="hybridMultilevel"/>
    <w:tmpl w:val="9E6C4662"/>
    <w:lvl w:ilvl="0" w:tplc="80D04EB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2E33"/>
    <w:multiLevelType w:val="hybridMultilevel"/>
    <w:tmpl w:val="220470C2"/>
    <w:lvl w:ilvl="0" w:tplc="A586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30E3A"/>
    <w:multiLevelType w:val="hybridMultilevel"/>
    <w:tmpl w:val="1B26CE4E"/>
    <w:lvl w:ilvl="0" w:tplc="36C80EB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cs"/>
        <w:b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31694554"/>
    <w:multiLevelType w:val="hybridMultilevel"/>
    <w:tmpl w:val="F058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A6236"/>
    <w:multiLevelType w:val="hybridMultilevel"/>
    <w:tmpl w:val="3FE2432C"/>
    <w:lvl w:ilvl="0" w:tplc="A5869FC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43C475A"/>
    <w:multiLevelType w:val="hybridMultilevel"/>
    <w:tmpl w:val="6DD02A9C"/>
    <w:lvl w:ilvl="0" w:tplc="4E3CDA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20804"/>
    <w:rsid w:val="000242CB"/>
    <w:rsid w:val="0003713D"/>
    <w:rsid w:val="000421C7"/>
    <w:rsid w:val="0004255B"/>
    <w:rsid w:val="00043D9A"/>
    <w:rsid w:val="00054642"/>
    <w:rsid w:val="000C7C66"/>
    <w:rsid w:val="00140778"/>
    <w:rsid w:val="00163A4B"/>
    <w:rsid w:val="001B4C2C"/>
    <w:rsid w:val="002123D7"/>
    <w:rsid w:val="0025186A"/>
    <w:rsid w:val="0027118E"/>
    <w:rsid w:val="002B269C"/>
    <w:rsid w:val="002B29EE"/>
    <w:rsid w:val="002B7384"/>
    <w:rsid w:val="002F4A5D"/>
    <w:rsid w:val="003A7DE0"/>
    <w:rsid w:val="003F07D2"/>
    <w:rsid w:val="00404CCC"/>
    <w:rsid w:val="004169DA"/>
    <w:rsid w:val="00436D5F"/>
    <w:rsid w:val="00473A99"/>
    <w:rsid w:val="004C7E64"/>
    <w:rsid w:val="0054048F"/>
    <w:rsid w:val="005902E8"/>
    <w:rsid w:val="00591EAD"/>
    <w:rsid w:val="005A1505"/>
    <w:rsid w:val="005A2328"/>
    <w:rsid w:val="005B125A"/>
    <w:rsid w:val="005D5C1E"/>
    <w:rsid w:val="005D69A2"/>
    <w:rsid w:val="005F4131"/>
    <w:rsid w:val="006149A5"/>
    <w:rsid w:val="006348C2"/>
    <w:rsid w:val="0063549A"/>
    <w:rsid w:val="00642753"/>
    <w:rsid w:val="00650650"/>
    <w:rsid w:val="00663FC3"/>
    <w:rsid w:val="006669AE"/>
    <w:rsid w:val="006C2A7A"/>
    <w:rsid w:val="00712442"/>
    <w:rsid w:val="00716C7B"/>
    <w:rsid w:val="00726A3A"/>
    <w:rsid w:val="00756203"/>
    <w:rsid w:val="007B1462"/>
    <w:rsid w:val="007F6616"/>
    <w:rsid w:val="00821780"/>
    <w:rsid w:val="00883553"/>
    <w:rsid w:val="008839C4"/>
    <w:rsid w:val="008B3287"/>
    <w:rsid w:val="008F4747"/>
    <w:rsid w:val="008F7527"/>
    <w:rsid w:val="00941CBC"/>
    <w:rsid w:val="00975568"/>
    <w:rsid w:val="009939D4"/>
    <w:rsid w:val="009A0305"/>
    <w:rsid w:val="009B57AD"/>
    <w:rsid w:val="009C3B73"/>
    <w:rsid w:val="00A4728E"/>
    <w:rsid w:val="00AC6EDC"/>
    <w:rsid w:val="00B12518"/>
    <w:rsid w:val="00B211AB"/>
    <w:rsid w:val="00B21D6A"/>
    <w:rsid w:val="00B237D5"/>
    <w:rsid w:val="00B24498"/>
    <w:rsid w:val="00B376FA"/>
    <w:rsid w:val="00B62AA8"/>
    <w:rsid w:val="00B64614"/>
    <w:rsid w:val="00B8265A"/>
    <w:rsid w:val="00BB634C"/>
    <w:rsid w:val="00C0486C"/>
    <w:rsid w:val="00C24910"/>
    <w:rsid w:val="00C4573A"/>
    <w:rsid w:val="00C62BFF"/>
    <w:rsid w:val="00C67591"/>
    <w:rsid w:val="00C82BE9"/>
    <w:rsid w:val="00CA4587"/>
    <w:rsid w:val="00CA75E4"/>
    <w:rsid w:val="00CC5FDC"/>
    <w:rsid w:val="00CF5870"/>
    <w:rsid w:val="00D03004"/>
    <w:rsid w:val="00D16AE1"/>
    <w:rsid w:val="00D50625"/>
    <w:rsid w:val="00D671E1"/>
    <w:rsid w:val="00D73E05"/>
    <w:rsid w:val="00D845BD"/>
    <w:rsid w:val="00DE7BD7"/>
    <w:rsid w:val="00E556E6"/>
    <w:rsid w:val="00E75E1B"/>
    <w:rsid w:val="00E77F16"/>
    <w:rsid w:val="00E83A63"/>
    <w:rsid w:val="00EE0FC7"/>
    <w:rsid w:val="00F11EE6"/>
    <w:rsid w:val="00F45859"/>
    <w:rsid w:val="00F556B5"/>
    <w:rsid w:val="00F642A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54642"/>
    <w:pPr>
      <w:spacing w:after="0" w:line="240" w:lineRule="auto"/>
      <w:ind w:left="360"/>
      <w:jc w:val="lowKashida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5464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54642"/>
    <w:pPr>
      <w:spacing w:after="0" w:line="240" w:lineRule="auto"/>
      <w:ind w:left="360"/>
      <w:jc w:val="lowKashida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5464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0F2F-510A-48D8-B900-8ED267DD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4</cp:revision>
  <cp:lastPrinted>2022-03-07T07:03:00Z</cp:lastPrinted>
  <dcterms:created xsi:type="dcterms:W3CDTF">2022-03-06T08:57:00Z</dcterms:created>
  <dcterms:modified xsi:type="dcterms:W3CDTF">2022-03-07T07:03:00Z</dcterms:modified>
</cp:coreProperties>
</file>